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media/image1.jpeg" ContentType="image/jpeg"/>
  <Override PartName="/word/media/image2.jpeg" ContentType="image/jpeg"/>
  <Override PartName="/word/media/image3.jpeg" ContentType="image/jpeg"/>
  <Override PartName="/word/media/image4.jpeg" ContentType="image/jpeg"/>
  <Override PartName="/word/media/image5.jpeg" ContentType="image/jpeg"/>
  <Override PartName="/word/media/image10.jpeg" ContentType="image/jpeg"/>
  <Override PartName="/word/media/image6.jpeg" ContentType="image/jpeg"/>
  <Override PartName="/word/media/image11.jpeg" ContentType="image/jpeg"/>
  <Override PartName="/word/media/image7.jpeg" ContentType="image/jpeg"/>
  <Override PartName="/word/media/image8.jpeg" ContentType="image/jpeg"/>
  <Override PartName="/word/media/image9.jpeg" ContentType="image/jpeg"/>
  <Override PartName="/word/styles.xml" ContentType="application/vnd.openxmlformats-officedocument.wordprocessingml.styles+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fontTable.xml" ContentType="application/vnd.openxmlformats-officedocument.wordprocessingml.fontTable+xml"/>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b/>
          <w:b/>
          <w:i/>
          <w:i/>
          <w:sz w:val="44"/>
          <w:szCs w:val="44"/>
        </w:rPr>
      </w:pPr>
      <w:r>
        <w:rPr/>
        <w:drawing>
          <wp:inline distT="0" distB="0" distL="0" distR="0">
            <wp:extent cx="448945" cy="432435"/>
            <wp:effectExtent l="0" t="0" r="0" b="0"/>
            <wp:docPr id="1" name="Picture 0"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0" descr="logo.JPG"/>
                    <pic:cNvPicPr>
                      <a:picLocks noChangeAspect="1" noChangeArrowheads="1"/>
                    </pic:cNvPicPr>
                  </pic:nvPicPr>
                  <pic:blipFill>
                    <a:blip r:embed="rId2"/>
                    <a:stretch>
                      <a:fillRect/>
                    </a:stretch>
                  </pic:blipFill>
                  <pic:spPr bwMode="auto">
                    <a:xfrm>
                      <a:off x="0" y="0"/>
                      <a:ext cx="448945" cy="432435"/>
                    </a:xfrm>
                    <a:prstGeom prst="rect">
                      <a:avLst/>
                    </a:prstGeom>
                  </pic:spPr>
                </pic:pic>
              </a:graphicData>
            </a:graphic>
          </wp:inline>
        </w:drawing>
      </w:r>
      <w:r>
        <w:rPr>
          <w:b/>
          <w:i/>
          <w:sz w:val="44"/>
          <w:szCs w:val="44"/>
        </w:rPr>
        <w:t>Технически университет – София</w:t>
      </w:r>
    </w:p>
    <w:p>
      <w:pPr>
        <w:pStyle w:val="Normal"/>
        <w:jc w:val="center"/>
        <w:rPr>
          <w:rFonts w:ascii="Century" w:hAnsi="Century"/>
          <w:sz w:val="44"/>
          <w:szCs w:val="44"/>
        </w:rPr>
      </w:pPr>
      <w:r>
        <w:rPr>
          <w:rFonts w:ascii="Century" w:hAnsi="Century"/>
          <w:sz w:val="44"/>
          <w:szCs w:val="44"/>
        </w:rPr>
      </w:r>
    </w:p>
    <w:p>
      <w:pPr>
        <w:pStyle w:val="Normal"/>
        <w:rPr/>
      </w:pPr>
      <w:r>
        <w:rPr/>
      </w:r>
    </w:p>
    <w:p>
      <w:pPr>
        <w:pStyle w:val="Normal"/>
        <w:rPr/>
      </w:pPr>
      <w:r>
        <w:rPr/>
      </w:r>
    </w:p>
    <w:p>
      <w:pPr>
        <w:pStyle w:val="Normal"/>
        <w:rPr/>
      </w:pPr>
      <w:r>
        <w:rPr/>
        <w:pict>
          <v:shapetype id="_x0000_t136" coordsize="21600,21600" o:spt="136" adj="10800" path="m@9,l@10,em@11,21600l@12,21600e">
            <v:stroke joinstyle="miter"/>
            <v:formulas>
              <v:f eqn="val #0"/>
              <v:f eqn="sum @0 0 10800"/>
              <v:f eqn="sum @0 0 0"/>
              <v:f eqn="sum width 0 @0"/>
              <v:f eqn="prod @2 2 1"/>
              <v:f eqn="prod @3 2 1"/>
              <v:f eqn="if @1 @5 @4"/>
              <v:f eqn="sum 0 @6 0"/>
              <v:f eqn="sum width 0 @6"/>
              <v:f eqn="if @1 0 @8"/>
              <v:f eqn="if @1 @7 width"/>
              <v:f eqn="if @1 @8 0"/>
              <v:f eqn="if @1 width @7"/>
            </v:formulas>
            <v:handles>
              <v:h position="@0,21600"/>
            </v:handles>
          </v:shapetype>
          <v:shape id="shape_0" fillcolor="#5a5a5a" stroked="t" o:allowincell="f" style="position:absolute;margin-left:0pt;margin-top:-340.8pt;width:453.7pt;height:340.7pt;mso-wrap-style:none;v-text-anchor:middle;mso-position-vertical:top" type="_x0000_t136">
            <v:path textpathok="t"/>
            <v:textpath on="t" fitshape="t" string="Реферат &#10;по&#10;Автоматизация &#10;на &#10;електронното &#10;производство" style="font-family:&quot;Arial Black&quot;;font-size:11pt"/>
            <v:fill o:detectmouseclick="t" type="solid" color2="#a5a5a5"/>
            <v:stroke color="black" weight="19080" joinstyle="round" endcap="flat"/>
            <w10:wrap type="none"/>
          </v:shape>
        </w:pict>
      </w:r>
    </w:p>
    <w:p>
      <w:pPr>
        <w:pStyle w:val="Normal"/>
        <w:rPr/>
      </w:pPr>
      <w:r>
        <w:rPr/>
      </w:r>
    </w:p>
    <w:p>
      <w:pPr>
        <w:pStyle w:val="Normal"/>
        <w:rPr/>
      </w:pPr>
      <w:r>
        <w:rPr/>
      </w:r>
    </w:p>
    <w:p>
      <w:pPr>
        <w:pStyle w:val="Normal"/>
        <w:rPr>
          <w:rFonts w:ascii="Century" w:hAnsi="Century"/>
          <w:sz w:val="24"/>
          <w:szCs w:val="24"/>
        </w:rPr>
      </w:pPr>
      <w:r>
        <w:rPr>
          <w:rFonts w:ascii="Century" w:hAnsi="Century"/>
          <w:b/>
          <w:sz w:val="24"/>
          <w:szCs w:val="24"/>
        </w:rPr>
        <w:t>Изработил:</w:t>
      </w:r>
      <w:r>
        <w:rPr>
          <w:rFonts w:ascii="Century" w:hAnsi="Century"/>
          <w:sz w:val="24"/>
          <w:szCs w:val="24"/>
        </w:rPr>
        <w:t xml:space="preserve"> Татяна Николаева Терзиева</w:t>
      </w:r>
    </w:p>
    <w:p>
      <w:pPr>
        <w:pStyle w:val="Normal"/>
        <w:rPr>
          <w:rFonts w:ascii="Century" w:hAnsi="Century"/>
          <w:sz w:val="24"/>
          <w:szCs w:val="24"/>
        </w:rPr>
      </w:pPr>
      <w:r>
        <w:rPr>
          <w:rFonts w:ascii="Century" w:hAnsi="Century"/>
          <w:b/>
          <w:sz w:val="24"/>
          <w:szCs w:val="24"/>
        </w:rPr>
        <w:t>Факултет:</w:t>
      </w:r>
      <w:r>
        <w:rPr>
          <w:rFonts w:ascii="Century" w:hAnsi="Century"/>
          <w:sz w:val="24"/>
          <w:szCs w:val="24"/>
        </w:rPr>
        <w:t xml:space="preserve"> ФЕТТ</w:t>
      </w:r>
    </w:p>
    <w:p>
      <w:pPr>
        <w:pStyle w:val="Normal"/>
        <w:rPr>
          <w:rFonts w:ascii="Century" w:hAnsi="Century"/>
          <w:sz w:val="24"/>
          <w:szCs w:val="24"/>
        </w:rPr>
      </w:pPr>
      <w:r>
        <w:rPr>
          <w:rFonts w:ascii="Century" w:hAnsi="Century"/>
          <w:b/>
          <w:sz w:val="24"/>
          <w:szCs w:val="24"/>
        </w:rPr>
        <w:t>Група:</w:t>
      </w:r>
      <w:r>
        <w:rPr>
          <w:rFonts w:ascii="Century" w:hAnsi="Century"/>
          <w:sz w:val="24"/>
          <w:szCs w:val="24"/>
        </w:rPr>
        <w:t xml:space="preserve"> 40</w:t>
      </w:r>
      <w:r>
        <w:rPr>
          <w:rFonts w:ascii="Century" w:hAnsi="Century"/>
          <w:sz w:val="24"/>
          <w:szCs w:val="24"/>
          <w:vertAlign w:val="superscript"/>
        </w:rPr>
        <w:t>Б</w:t>
        <w:tab/>
        <w:tab/>
        <w:tab/>
        <w:tab/>
        <w:tab/>
      </w:r>
      <w:r>
        <w:rPr>
          <w:rFonts w:ascii="Century" w:hAnsi="Century"/>
          <w:b/>
          <w:sz w:val="24"/>
          <w:szCs w:val="24"/>
          <w:vertAlign w:val="superscript"/>
        </w:rPr>
        <w:t xml:space="preserve">            </w:t>
      </w:r>
      <w:r>
        <w:rPr>
          <w:rFonts w:ascii="Century" w:hAnsi="Century"/>
          <w:b/>
          <w:sz w:val="24"/>
          <w:szCs w:val="24"/>
        </w:rPr>
        <w:t>Проверил:</w:t>
      </w:r>
      <w:r>
        <w:rPr>
          <w:rFonts w:ascii="Century" w:hAnsi="Century"/>
          <w:sz w:val="24"/>
          <w:szCs w:val="24"/>
        </w:rPr>
        <w:t xml:space="preserve"> Гл.ас. Емилия Балканска</w:t>
      </w:r>
    </w:p>
    <w:p>
      <w:pPr>
        <w:pStyle w:val="Normal"/>
        <w:rPr>
          <w:rFonts w:ascii="Century" w:hAnsi="Century"/>
          <w:sz w:val="24"/>
          <w:szCs w:val="24"/>
        </w:rPr>
      </w:pPr>
      <w:r>
        <w:rPr>
          <w:rFonts w:ascii="Century" w:hAnsi="Century"/>
          <w:b/>
          <w:sz w:val="24"/>
          <w:szCs w:val="24"/>
        </w:rPr>
        <w:t>Фак.№:</w:t>
      </w:r>
      <w:r>
        <w:rPr>
          <w:rFonts w:ascii="Century" w:hAnsi="Century"/>
          <w:sz w:val="24"/>
          <w:szCs w:val="24"/>
        </w:rPr>
        <w:t xml:space="preserve"> 101208128</w:t>
        <w:tab/>
        <w:tab/>
        <w:tab/>
      </w:r>
      <w:r>
        <w:rPr>
          <w:rFonts w:ascii="Century" w:hAnsi="Century"/>
          <w:b/>
          <w:sz w:val="24"/>
          <w:szCs w:val="24"/>
        </w:rPr>
        <w:t xml:space="preserve">        Дата:</w:t>
      </w:r>
      <w:r>
        <w:rPr>
          <w:rFonts w:ascii="Century" w:hAnsi="Century"/>
          <w:sz w:val="24"/>
          <w:szCs w:val="24"/>
        </w:rPr>
        <w:t xml:space="preserve"> 26.03.2012г.</w:t>
        <w:tab/>
        <w:tab/>
        <w:tab/>
      </w:r>
    </w:p>
    <w:p>
      <w:pPr>
        <w:pStyle w:val="Normal"/>
        <w:rPr>
          <w:rFonts w:ascii="Century" w:hAnsi="Century"/>
          <w:sz w:val="32"/>
          <w:szCs w:val="32"/>
        </w:rPr>
      </w:pPr>
      <w:r>
        <w:rPr>
          <w:rFonts w:ascii="Century" w:hAnsi="Century"/>
          <w:sz w:val="32"/>
          <w:szCs w:val="32"/>
        </w:rPr>
      </w:r>
    </w:p>
    <w:p>
      <w:pPr>
        <w:pStyle w:val="Normal"/>
        <w:jc w:val="center"/>
        <w:rPr>
          <w:rFonts w:ascii="Century" w:hAnsi="Century"/>
          <w:b/>
          <w:b/>
          <w:i/>
          <w:i/>
          <w:sz w:val="44"/>
          <w:szCs w:val="44"/>
        </w:rPr>
      </w:pPr>
      <w:r>
        <w:rPr>
          <w:rFonts w:ascii="Century" w:hAnsi="Century"/>
          <w:b/>
          <w:i/>
          <w:sz w:val="44"/>
          <w:szCs w:val="44"/>
        </w:rPr>
        <w:t>Автоматизирана машина за разполагане и монтаж на електронни компоненти в микроелектрониката</w:t>
      </w:r>
    </w:p>
    <w:p>
      <w:pPr>
        <w:pStyle w:val="Normal"/>
        <w:jc w:val="center"/>
        <w:rPr>
          <w:rFonts w:ascii="Century" w:hAnsi="Century"/>
          <w:sz w:val="32"/>
          <w:szCs w:val="32"/>
        </w:rPr>
      </w:pPr>
      <w:r>
        <w:rPr>
          <w:rFonts w:ascii="Century" w:hAnsi="Century"/>
          <w:sz w:val="32"/>
          <w:szCs w:val="32"/>
        </w:rPr>
      </w:r>
    </w:p>
    <w:p>
      <w:pPr>
        <w:pStyle w:val="Normal"/>
        <w:jc w:val="center"/>
        <w:rPr>
          <w:rFonts w:ascii="Century" w:hAnsi="Century"/>
          <w:sz w:val="32"/>
          <w:szCs w:val="32"/>
        </w:rPr>
      </w:pPr>
      <w:r>
        <w:rPr>
          <w:rFonts w:ascii="Century" w:hAnsi="Century"/>
          <w:sz w:val="32"/>
          <w:szCs w:val="32"/>
        </w:rPr>
      </w:r>
    </w:p>
    <w:p>
      <w:pPr>
        <w:pStyle w:val="Normal"/>
        <w:jc w:val="center"/>
        <w:rPr>
          <w:rFonts w:ascii="Century" w:hAnsi="Century"/>
          <w:b/>
          <w:b/>
          <w:sz w:val="32"/>
          <w:szCs w:val="32"/>
        </w:rPr>
      </w:pPr>
      <w:r>
        <w:rPr>
          <w:rFonts w:ascii="Century" w:hAnsi="Century"/>
          <w:b/>
          <w:sz w:val="32"/>
          <w:szCs w:val="32"/>
        </w:rPr>
        <w:t>ВЪВЕДЕНИЕ</w:t>
      </w:r>
    </w:p>
    <w:p>
      <w:pPr>
        <w:pStyle w:val="Normal"/>
        <w:jc w:val="center"/>
        <w:rPr>
          <w:rFonts w:ascii="Century" w:hAnsi="Century"/>
          <w:sz w:val="32"/>
          <w:szCs w:val="32"/>
        </w:rPr>
      </w:pPr>
      <w:r>
        <w:rPr>
          <w:rFonts w:ascii="Century" w:hAnsi="Century"/>
          <w:sz w:val="32"/>
          <w:szCs w:val="32"/>
        </w:rPr>
      </w:r>
    </w:p>
    <w:p>
      <w:pPr>
        <w:pStyle w:val="Normal"/>
        <w:rPr>
          <w:rFonts w:ascii="Century" w:hAnsi="Century"/>
          <w:sz w:val="24"/>
          <w:szCs w:val="24"/>
        </w:rPr>
      </w:pPr>
      <w:r>
        <w:rPr>
          <w:rFonts w:ascii="Century" w:hAnsi="Century"/>
          <w:sz w:val="24"/>
          <w:szCs w:val="24"/>
        </w:rPr>
        <w:tab/>
        <w:t xml:space="preserve">В последни години се наблюдава драстична промяна в изискванията към производствените дейности и продукти, като все повече се търсят високо специализирани системи, които да изпълняват все повече задачи, без да има ограничения за размера им. Например, в областта на електронните устройства, поддържащи производството на оборудване за информационен пренос, изключителен прогрес откриваме в намаляването на размера на продуктите и универсалността им, въпреки по-малкият им жизнен цикъл (пр. </w:t>
      </w:r>
      <w:r>
        <w:rPr>
          <w:rFonts w:ascii="Century" w:hAnsi="Century"/>
          <w:sz w:val="24"/>
          <w:szCs w:val="24"/>
          <w:lang w:val="en-US"/>
        </w:rPr>
        <w:t xml:space="preserve">GSM </w:t>
      </w:r>
      <w:r>
        <w:rPr>
          <w:rFonts w:ascii="Century" w:hAnsi="Century"/>
          <w:sz w:val="24"/>
          <w:szCs w:val="24"/>
        </w:rPr>
        <w:t xml:space="preserve">устройствата и др.). </w:t>
      </w:r>
    </w:p>
    <w:p>
      <w:pPr>
        <w:pStyle w:val="Normal"/>
        <w:rPr>
          <w:rFonts w:ascii="Century" w:hAnsi="Century"/>
          <w:sz w:val="24"/>
          <w:szCs w:val="24"/>
        </w:rPr>
      </w:pPr>
      <w:r>
        <w:rPr>
          <w:rFonts w:ascii="Century" w:hAnsi="Century"/>
          <w:sz w:val="24"/>
          <w:szCs w:val="24"/>
        </w:rPr>
        <w:tab/>
        <w:t xml:space="preserve">Апаратурата, която е небходима за производстовто на толкова малки устройства, които от „просто” проучвания ще бъдат въведени в масовото производство, трябва да бъде също физически малка, като едновременно да осигурява висока точност на извършваните процеси и технологиите за монтаж. Необходимо е също тези системи да бъдат лесно обновявани и гъвкави, поради честите промени в размерите, вида и процесите необходими за поставянето на различните компоненти. </w:t>
      </w:r>
    </w:p>
    <w:p>
      <w:pPr>
        <w:pStyle w:val="Normal"/>
        <w:rPr>
          <w:rFonts w:ascii="Century" w:hAnsi="Century"/>
          <w:sz w:val="24"/>
          <w:szCs w:val="24"/>
        </w:rPr>
      </w:pPr>
      <w:r>
        <w:rPr>
          <w:rFonts w:ascii="Century" w:hAnsi="Century"/>
          <w:sz w:val="24"/>
          <w:szCs w:val="24"/>
        </w:rPr>
        <w:tab/>
        <w:t>Поради изисквания, като компактност и ниска цена, в следният текст е описан технологочния процес за изготвяне на печатни платки, използвайки машина за автоматизирано монтиране на елементи.</w:t>
      </w:r>
    </w:p>
    <w:p>
      <w:pPr>
        <w:pStyle w:val="Normal"/>
        <w:rPr>
          <w:rFonts w:ascii="Century" w:hAnsi="Century"/>
          <w:sz w:val="24"/>
          <w:szCs w:val="24"/>
        </w:rPr>
      </w:pPr>
      <w:r>
        <w:rPr>
          <w:rFonts w:ascii="Century" w:hAnsi="Century"/>
          <w:sz w:val="24"/>
          <w:szCs w:val="24"/>
        </w:rPr>
      </w:r>
    </w:p>
    <w:p>
      <w:pPr>
        <w:pStyle w:val="Normal"/>
        <w:jc w:val="center"/>
        <w:rPr>
          <w:rFonts w:ascii="Century" w:hAnsi="Century"/>
          <w:b/>
          <w:b/>
          <w:sz w:val="32"/>
          <w:szCs w:val="32"/>
        </w:rPr>
      </w:pPr>
      <w:r>
        <w:rPr>
          <w:rFonts w:ascii="Century" w:hAnsi="Century"/>
          <w:b/>
          <w:sz w:val="32"/>
          <w:szCs w:val="32"/>
        </w:rPr>
        <w:t>ТЕХНОЛОГИЧЕН ПРОЦЕС</w:t>
      </w:r>
    </w:p>
    <w:p>
      <w:pPr>
        <w:pStyle w:val="Normal"/>
        <w:rPr>
          <w:rFonts w:ascii="Century" w:hAnsi="Century"/>
          <w:sz w:val="24"/>
          <w:szCs w:val="24"/>
        </w:rPr>
      </w:pPr>
      <w:r>
        <w:rPr>
          <w:rFonts w:ascii="Century" w:hAnsi="Century"/>
          <w:sz w:val="24"/>
          <w:szCs w:val="24"/>
        </w:rPr>
      </w:r>
    </w:p>
    <w:p>
      <w:pPr>
        <w:pStyle w:val="Normal"/>
        <w:rPr>
          <w:rFonts w:ascii="Century" w:hAnsi="Century"/>
          <w:sz w:val="24"/>
          <w:szCs w:val="24"/>
        </w:rPr>
      </w:pPr>
      <w:r>
        <w:rPr>
          <w:rFonts w:ascii="Century" w:hAnsi="Century"/>
          <w:sz w:val="24"/>
          <w:szCs w:val="24"/>
          <w:lang w:val="en-US"/>
        </w:rPr>
        <w:tab/>
      </w:r>
      <w:r>
        <w:rPr>
          <w:rFonts w:ascii="Century" w:hAnsi="Century"/>
          <w:sz w:val="24"/>
          <w:szCs w:val="24"/>
        </w:rPr>
        <w:t>Технологичният процес при технологията на повърхностен монтаж включва редица основни операции: нанасяне на свързващ материал- печатно или диспенсърно, разполагане на елементите, спояване- включително и спойка вълна. Някои от машините могат да изпълняват и двата процеса- нанасяне на паста и разполагане. Тези машини се състоят от няколко основни възела.</w:t>
      </w:r>
    </w:p>
    <w:p>
      <w:pPr>
        <w:pStyle w:val="Normal"/>
        <w:rPr>
          <w:rFonts w:ascii="Century" w:hAnsi="Century"/>
          <w:sz w:val="24"/>
          <w:szCs w:val="24"/>
        </w:rPr>
      </w:pPr>
      <w:r>
        <w:rPr>
          <w:rFonts w:ascii="Century" w:hAnsi="Century"/>
          <w:sz w:val="24"/>
          <w:szCs w:val="24"/>
        </w:rPr>
        <w:tab/>
        <w:t>1. Работна маса, представяна още като транспортен модул. Тя служи за закрепване на платката на позицията за обработка и за автоматично зареждане разреждане.</w:t>
      </w:r>
    </w:p>
    <w:p>
      <w:pPr>
        <w:pStyle w:val="Normal"/>
        <w:rPr>
          <w:rFonts w:ascii="Century" w:hAnsi="Century"/>
          <w:sz w:val="24"/>
          <w:szCs w:val="24"/>
        </w:rPr>
      </w:pPr>
      <w:r>
        <w:rPr>
          <w:rFonts w:ascii="Century" w:hAnsi="Century"/>
          <w:sz w:val="24"/>
          <w:szCs w:val="24"/>
        </w:rPr>
        <w:tab/>
        <w:t>2. Работна глава. Тя служи за закрепване на инструментите, с които се вземат елементи, както за центрирането им в позиция вземане-разполагане.Работната глава, понякога заедно с работната маса, осигурява горната функция на съвместяване.</w:t>
      </w:r>
    </w:p>
    <w:p>
      <w:pPr>
        <w:pStyle w:val="Normal"/>
        <w:rPr>
          <w:rFonts w:ascii="Century" w:hAnsi="Century"/>
          <w:sz w:val="24"/>
          <w:szCs w:val="24"/>
        </w:rPr>
      </w:pPr>
      <w:r>
        <w:rPr>
          <w:rFonts w:ascii="Century" w:hAnsi="Century"/>
          <w:sz w:val="24"/>
          <w:szCs w:val="24"/>
        </w:rPr>
        <w:tab/>
        <w:t>3. Устройства за пренос и подаване на електронните елементи (при процес нанасяне на паста, става въпрос за пренасяне на свързващ/спойващ материал).</w:t>
      </w:r>
    </w:p>
    <w:p>
      <w:pPr>
        <w:pStyle w:val="Normal"/>
        <w:rPr>
          <w:rFonts w:ascii="Century" w:hAnsi="Century"/>
          <w:sz w:val="24"/>
          <w:szCs w:val="24"/>
        </w:rPr>
      </w:pPr>
      <w:r>
        <w:rPr>
          <w:rFonts w:ascii="Century" w:hAnsi="Century"/>
          <w:sz w:val="24"/>
          <w:szCs w:val="24"/>
        </w:rPr>
        <w:tab/>
        <w:t>4. Система за наблюдение на процеса, като микроскопи или камери.</w:t>
      </w:r>
    </w:p>
    <w:p>
      <w:pPr>
        <w:pStyle w:val="Normal"/>
        <w:rPr>
          <w:rFonts w:ascii="Century" w:hAnsi="Century"/>
          <w:sz w:val="24"/>
          <w:szCs w:val="24"/>
        </w:rPr>
      </w:pPr>
      <w:r>
        <w:rPr>
          <w:rFonts w:ascii="Century" w:hAnsi="Century"/>
          <w:sz w:val="24"/>
          <w:szCs w:val="24"/>
        </w:rPr>
        <w:tab/>
        <w:t>5. Захранващи блокове, програмиращи блокове и блокове за управление.</w:t>
      </w:r>
    </w:p>
    <w:p>
      <w:pPr>
        <w:pStyle w:val="Normal"/>
        <w:rPr>
          <w:rFonts w:ascii="Century" w:hAnsi="Century"/>
          <w:sz w:val="24"/>
          <w:szCs w:val="24"/>
        </w:rPr>
      </w:pPr>
      <w:r>
        <w:rPr>
          <w:rFonts w:ascii="Century" w:hAnsi="Century"/>
          <w:sz w:val="24"/>
          <w:szCs w:val="24"/>
        </w:rPr>
        <w:tab/>
        <w:t>6. Допълнителни устройства за подаване на вакуум, когато е небоходим или въздух за изтласкване.</w:t>
      </w:r>
    </w:p>
    <w:p>
      <w:pPr>
        <w:pStyle w:val="Normal"/>
        <w:rPr>
          <w:rFonts w:ascii="Century" w:hAnsi="Century"/>
          <w:sz w:val="24"/>
          <w:szCs w:val="24"/>
        </w:rPr>
      </w:pPr>
      <w:r>
        <w:rPr>
          <w:rFonts w:ascii="Century" w:hAnsi="Century"/>
          <w:sz w:val="24"/>
          <w:szCs w:val="24"/>
        </w:rPr>
        <w:tab/>
        <w:t>В практиката съществуват различни видове „магазини” за подаване на елементи от захранващите с елементи устройства. Най-приложими са лентовите, при които елементите са разположени в джобчета на специална перфорирана лента, като тази лента се явява и самата опаковка на елементите. Транспортното устройство осигурява стъпково подаване, а стъпката бива определена от размера на елемента. Вибраторните захранващи устройства представляват тръбни държатели пълни с елементи, като тези елементи се преместват чрез вибрации към изхода в позиция за вземане. Има също така гравитационни и статични „магазини” за елементи. При гравитационните, елементите се подават от тръбни опаковки, при което те се придвижват под действие на собствената си тежест. Статичните представляват различни видове кутии или носителни на  залепващо фолио. Те се използват предимно за големи или некорпусирани елементи.</w:t>
        <w:tab/>
      </w:r>
    </w:p>
    <w:p>
      <w:pPr>
        <w:pStyle w:val="Normal"/>
        <w:rPr>
          <w:rFonts w:ascii="Century" w:hAnsi="Century"/>
          <w:sz w:val="24"/>
          <w:szCs w:val="24"/>
        </w:rPr>
      </w:pPr>
      <w:r>
        <w:rPr>
          <w:rFonts w:ascii="Century" w:hAnsi="Century"/>
          <w:sz w:val="24"/>
          <w:szCs w:val="24"/>
          <w:lang w:val="en-US"/>
        </w:rPr>
        <w:tab/>
      </w:r>
      <w:r>
        <w:rPr>
          <w:rFonts w:ascii="Century" w:hAnsi="Century"/>
          <w:sz w:val="24"/>
          <w:szCs w:val="24"/>
        </w:rPr>
        <w:t>Машината за разполагане на елементи, показана по-долу, се състои от три основни части:</w:t>
      </w:r>
    </w:p>
    <w:p>
      <w:pPr>
        <w:pStyle w:val="Normal"/>
        <w:rPr>
          <w:rFonts w:ascii="Century" w:hAnsi="Century"/>
          <w:sz w:val="24"/>
          <w:szCs w:val="24"/>
        </w:rPr>
      </w:pPr>
      <w:r>
        <w:rPr>
          <w:rFonts w:ascii="Century" w:hAnsi="Century"/>
          <w:sz w:val="24"/>
          <w:szCs w:val="24"/>
        </w:rPr>
        <w:tab/>
        <w:tab/>
        <w:t>*  рамка с вграден елемент, която се използва едновременно за процес с многократно монтиране и като пренасящ и позициониращ механизъм;</w:t>
      </w:r>
    </w:p>
    <w:p>
      <w:pPr>
        <w:pStyle w:val="Normal"/>
        <w:rPr>
          <w:rFonts w:ascii="Century" w:hAnsi="Century"/>
          <w:sz w:val="24"/>
          <w:szCs w:val="24"/>
        </w:rPr>
      </w:pPr>
      <w:r>
        <w:rPr>
          <w:rFonts w:ascii="Century" w:hAnsi="Century"/>
          <w:sz w:val="24"/>
          <w:szCs w:val="24"/>
        </w:rPr>
        <w:tab/>
        <w:tab/>
        <w:t xml:space="preserve">* </w:t>
      </w:r>
      <w:r>
        <w:rPr>
          <w:rFonts w:ascii="Century" w:hAnsi="Century"/>
          <w:sz w:val="24"/>
          <w:szCs w:val="24"/>
          <w:lang w:val="en-US"/>
        </w:rPr>
        <w:t>Y-</w:t>
      </w:r>
      <w:r>
        <w:rPr>
          <w:rFonts w:ascii="Century" w:hAnsi="Century"/>
          <w:sz w:val="24"/>
          <w:szCs w:val="24"/>
        </w:rPr>
        <w:t>ос, която служи за прецизен подбор на елементите и като подравняващ механизъм;</w:t>
      </w:r>
    </w:p>
    <w:p>
      <w:pPr>
        <w:pStyle w:val="Normal"/>
        <w:rPr>
          <w:rFonts w:ascii="Century" w:hAnsi="Century"/>
          <w:sz w:val="24"/>
          <w:szCs w:val="24"/>
        </w:rPr>
      </w:pPr>
      <w:r>
        <w:rPr>
          <w:rFonts w:ascii="Century" w:hAnsi="Century"/>
          <w:sz w:val="24"/>
          <w:szCs w:val="24"/>
        </w:rPr>
        <w:tab/>
        <w:tab/>
        <w:t xml:space="preserve">* ръчен елемент, за подравняване по остта </w:t>
      </w:r>
      <w:r>
        <w:rPr>
          <w:rFonts w:ascii="Century" w:hAnsi="Century"/>
          <w:sz w:val="24"/>
          <w:szCs w:val="24"/>
          <w:lang w:val="en-US"/>
        </w:rPr>
        <w:t>Z</w:t>
      </w:r>
      <w:r>
        <w:rPr>
          <w:rFonts w:ascii="Century" w:hAnsi="Century"/>
          <w:sz w:val="24"/>
          <w:szCs w:val="24"/>
        </w:rPr>
        <w:t>.</w:t>
      </w:r>
    </w:p>
    <w:p>
      <w:pPr>
        <w:pStyle w:val="Normal"/>
        <w:rPr>
          <w:rFonts w:ascii="Century" w:hAnsi="Century"/>
          <w:sz w:val="24"/>
          <w:szCs w:val="24"/>
        </w:rPr>
      </w:pPr>
      <w:r>
        <w:rPr>
          <w:rFonts w:ascii="Century" w:hAnsi="Century"/>
          <w:sz w:val="24"/>
          <w:szCs w:val="24"/>
        </w:rPr>
      </w:r>
    </w:p>
    <w:p>
      <w:pPr>
        <w:pStyle w:val="Normal"/>
        <w:rPr>
          <w:rFonts w:ascii="Century" w:hAnsi="Century"/>
          <w:sz w:val="24"/>
          <w:szCs w:val="24"/>
        </w:rPr>
      </w:pPr>
      <w:r>
        <w:rPr>
          <w:rFonts w:ascii="Century" w:hAnsi="Century"/>
          <w:sz w:val="24"/>
          <w:szCs w:val="24"/>
        </w:rPr>
      </w:r>
    </w:p>
    <w:p>
      <w:pPr>
        <w:pStyle w:val="Normal"/>
        <w:jc w:val="center"/>
        <w:rPr>
          <w:rFonts w:ascii="Century" w:hAnsi="Century"/>
          <w:sz w:val="24"/>
          <w:szCs w:val="24"/>
        </w:rPr>
      </w:pPr>
      <w:r>
        <w:rPr/>
        <mc:AlternateContent>
          <mc:Choice Requires="wps">
            <w:drawing>
              <wp:inline distT="0" distB="0" distL="0" distR="0">
                <wp:extent cx="3429000" cy="3028950"/>
                <wp:effectExtent l="171450" t="133350" r="361950" b="304800"/>
                <wp:docPr id="3" name="fig.1.JPG"/>
                <a:graphic xmlns:a="http://schemas.openxmlformats.org/drawingml/2006/main">
                  <a:graphicData uri="http://schemas.openxmlformats.org/drawingml/2006/picture">
                    <pic:pic xmlns:pic="http://schemas.openxmlformats.org/drawingml/2006/picture">
                      <pic:nvPicPr>
                        <pic:cNvPr id="0" name="fig.1.JPG" descr=""/>
                        <pic:cNvPicPr/>
                      </pic:nvPicPr>
                      <pic:blipFill>
                        <a:blip r:embed="rId3"/>
                        <a:stretch/>
                      </pic:blipFill>
                      <pic:spPr>
                        <a:xfrm>
                          <a:off x="0" y="0"/>
                          <a:ext cx="3429000" cy="3029040"/>
                        </a:xfrm>
                        <a:prstGeom prst="rect">
                          <a:avLst/>
                        </a:prstGeom>
                        <a:ln w="0">
                          <a:noFill/>
                        </a:ln>
                        <a:effectLst>
                          <a:outerShdw algn="tl" blurRad="291960" dir="2700000" dist="138988" rotWithShape="0">
                            <a:srgbClr val="333333">
                              <a:alpha val="65000"/>
                            </a:srgbClr>
                          </a:outerShdw>
                        </a:effectLst>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fig.1.JPG" stroked="f" o:allowincell="f" style="position:absolute;margin-left:0pt;margin-top:-273.05pt;width:269.95pt;height:238.45pt;mso-wrap-style:none;v-text-anchor:middle;mso-position-vertical:top" type="_x0000_t75">
                <v:imagedata r:id="rId3" o:detectmouseclick="t"/>
                <v:stroke color="#3465a4" joinstyle="round" endcap="flat"/>
                <w10:wrap type="square"/>
              </v:shape>
            </w:pict>
          </mc:Fallback>
        </mc:AlternateContent>
      </w:r>
    </w:p>
    <w:p>
      <w:pPr>
        <w:pStyle w:val="Normal"/>
        <w:rPr>
          <w:rFonts w:ascii="Century" w:hAnsi="Century"/>
          <w:sz w:val="24"/>
          <w:szCs w:val="24"/>
        </w:rPr>
      </w:pPr>
      <w:r>
        <w:rPr>
          <w:rFonts w:ascii="Century" w:hAnsi="Century"/>
          <w:sz w:val="24"/>
          <w:szCs w:val="24"/>
        </w:rPr>
      </w:r>
    </w:p>
    <w:p>
      <w:pPr>
        <w:pStyle w:val="Normal"/>
        <w:rPr>
          <w:rFonts w:ascii="Century" w:hAnsi="Century"/>
          <w:sz w:val="24"/>
          <w:szCs w:val="24"/>
        </w:rPr>
      </w:pPr>
      <w:r>
        <w:rPr>
          <w:rFonts w:ascii="Century" w:hAnsi="Century"/>
          <w:sz w:val="24"/>
          <w:szCs w:val="24"/>
        </w:rPr>
      </w:r>
    </w:p>
    <w:p>
      <w:pPr>
        <w:pStyle w:val="Normal"/>
        <w:rPr>
          <w:rFonts w:ascii="Century" w:hAnsi="Century"/>
          <w:sz w:val="24"/>
          <w:szCs w:val="24"/>
        </w:rPr>
      </w:pPr>
      <w:r>
        <w:rPr>
          <w:rFonts w:ascii="Century" w:hAnsi="Century"/>
          <w:sz w:val="24"/>
          <w:szCs w:val="24"/>
        </w:rPr>
        <w:tab/>
        <w:t xml:space="preserve">Основната дейност на машината представлява „вдигане и поставяне” на елементите. Технологията е следната. Елементът, който е позициониран от подравняващия механизъм се захваща от ръчния елемент, пренася се и се настройва от </w:t>
      </w:r>
      <w:r>
        <w:rPr>
          <w:rFonts w:ascii="Century" w:hAnsi="Century"/>
          <w:sz w:val="24"/>
          <w:szCs w:val="24"/>
          <w:lang w:val="en-US"/>
        </w:rPr>
        <w:t xml:space="preserve">Z </w:t>
      </w:r>
      <w:r>
        <w:rPr>
          <w:rFonts w:ascii="Century" w:hAnsi="Century"/>
          <w:sz w:val="24"/>
          <w:szCs w:val="24"/>
        </w:rPr>
        <w:t xml:space="preserve">и </w:t>
      </w:r>
      <w:r>
        <w:rPr>
          <w:rFonts w:ascii="Century" w:hAnsi="Century"/>
          <w:sz w:val="24"/>
          <w:szCs w:val="24"/>
          <w:lang w:val="en-US"/>
        </w:rPr>
        <w:t xml:space="preserve">Y </w:t>
      </w:r>
      <w:r>
        <w:rPr>
          <w:rFonts w:ascii="Century" w:hAnsi="Century"/>
          <w:sz w:val="24"/>
          <w:szCs w:val="24"/>
        </w:rPr>
        <w:t>осите, докато не заеме позицията, изисквана от топологията на самата схема, след което се монтира върху работното място (платката). След като елементът е правилно монтиран, работната глава се освобождава и се връща в началната си позиция.</w:t>
      </w:r>
    </w:p>
    <w:p>
      <w:pPr>
        <w:pStyle w:val="Normal"/>
        <w:rPr>
          <w:rFonts w:ascii="Century" w:hAnsi="Century"/>
          <w:sz w:val="24"/>
          <w:szCs w:val="24"/>
        </w:rPr>
      </w:pPr>
      <w:r>
        <w:rPr>
          <w:rFonts w:ascii="Century" w:hAnsi="Century"/>
          <w:sz w:val="24"/>
          <w:szCs w:val="24"/>
        </w:rPr>
        <w:tab/>
        <w:t xml:space="preserve">Операция тип „поточна линия” може да се осъществи, като няколко от тези машини бъдат поставени една до друга, образувайки линия. </w:t>
      </w:r>
    </w:p>
    <w:p>
      <w:pPr>
        <w:pStyle w:val="Normal"/>
        <w:jc w:val="center"/>
        <w:rPr>
          <w:rFonts w:ascii="Century" w:hAnsi="Century"/>
          <w:sz w:val="24"/>
          <w:szCs w:val="24"/>
        </w:rPr>
      </w:pPr>
      <w:r>
        <w:rPr/>
        <mc:AlternateContent>
          <mc:Choice Requires="wps">
            <w:drawing>
              <wp:inline distT="0" distB="0" distL="0" distR="0">
                <wp:extent cx="3581400" cy="2581275"/>
                <wp:effectExtent l="171450" t="133350" r="361950" b="314325"/>
                <wp:docPr id="4" name="fig.2.JPG"/>
                <a:graphic xmlns:a="http://schemas.openxmlformats.org/drawingml/2006/main">
                  <a:graphicData uri="http://schemas.openxmlformats.org/drawingml/2006/picture">
                    <pic:pic xmlns:pic="http://schemas.openxmlformats.org/drawingml/2006/picture">
                      <pic:nvPicPr>
                        <pic:cNvPr id="1" name="fig.2.JPG" descr=""/>
                        <pic:cNvPicPr/>
                      </pic:nvPicPr>
                      <pic:blipFill>
                        <a:blip r:embed="rId4"/>
                        <a:stretch/>
                      </pic:blipFill>
                      <pic:spPr>
                        <a:xfrm>
                          <a:off x="0" y="0"/>
                          <a:ext cx="3581280" cy="2581200"/>
                        </a:xfrm>
                        <a:prstGeom prst="rect">
                          <a:avLst/>
                        </a:prstGeom>
                        <a:ln w="0">
                          <a:noFill/>
                        </a:ln>
                        <a:effectLst>
                          <a:outerShdw algn="tl" blurRad="291960" dir="2700000" dist="138988" rotWithShape="0">
                            <a:srgbClr val="333333">
                              <a:alpha val="65000"/>
                            </a:srgbClr>
                          </a:outerShdw>
                        </a:effectLst>
                      </pic:spPr>
                    </pic:pic>
                  </a:graphicData>
                </a:graphic>
              </wp:inline>
            </w:drawing>
          </mc:Choice>
          <mc:Fallback>
            <w:pict>
              <v:shape id="shape_0" ID="fig.2.JPG" stroked="f" o:allowincell="f" style="position:absolute;margin-left:0pt;margin-top:-238.55pt;width:281.95pt;height:203.2pt;mso-wrap-style:none;v-text-anchor:middle;mso-position-vertical:top" type="_x0000_t75">
                <v:imagedata r:id="rId4" o:detectmouseclick="t"/>
                <v:stroke color="#3465a4" joinstyle="round" endcap="flat"/>
                <w10:wrap type="square"/>
              </v:shape>
            </w:pict>
          </mc:Fallback>
        </mc:AlternateContent>
      </w:r>
    </w:p>
    <w:p>
      <w:pPr>
        <w:pStyle w:val="Normal"/>
        <w:rPr>
          <w:rFonts w:ascii="Century" w:hAnsi="Century"/>
          <w:sz w:val="24"/>
          <w:szCs w:val="24"/>
        </w:rPr>
      </w:pPr>
      <w:r>
        <w:rPr>
          <w:rFonts w:ascii="Century" w:hAnsi="Century"/>
          <w:sz w:val="24"/>
          <w:szCs w:val="24"/>
        </w:rPr>
        <w:tab/>
        <w:t>Монтажна машина с вградени функции за зрително разпознаване е показа на следващата фигура.</w:t>
      </w:r>
    </w:p>
    <w:p>
      <w:pPr>
        <w:pStyle w:val="Normal"/>
        <w:jc w:val="center"/>
        <w:rPr>
          <w:rFonts w:ascii="Century" w:hAnsi="Century"/>
          <w:sz w:val="24"/>
          <w:szCs w:val="24"/>
        </w:rPr>
      </w:pPr>
      <w:r>
        <w:rPr>
          <w:rFonts w:ascii="Century" w:hAnsi="Century"/>
          <w:sz w:val="24"/>
          <w:szCs w:val="24"/>
        </w:rPr>
        <w:br/>
      </w:r>
      <w:r>
        <w:rPr/>
        <mc:AlternateContent>
          <mc:Choice Requires="wps">
            <w:drawing>
              <wp:inline distT="0" distB="0" distL="0" distR="0">
                <wp:extent cx="2752725" cy="3162300"/>
                <wp:effectExtent l="171450" t="133350" r="371475" b="304800"/>
                <wp:docPr id="5" name="fig.3.JPG"/>
                <a:graphic xmlns:a="http://schemas.openxmlformats.org/drawingml/2006/main">
                  <a:graphicData uri="http://schemas.openxmlformats.org/drawingml/2006/picture">
                    <pic:pic xmlns:pic="http://schemas.openxmlformats.org/drawingml/2006/picture">
                      <pic:nvPicPr>
                        <pic:cNvPr id="2" name="fig.3.JPG" descr=""/>
                        <pic:cNvPicPr/>
                      </pic:nvPicPr>
                      <pic:blipFill>
                        <a:blip r:embed="rId5"/>
                        <a:stretch/>
                      </pic:blipFill>
                      <pic:spPr>
                        <a:xfrm>
                          <a:off x="0" y="0"/>
                          <a:ext cx="2752560" cy="3162240"/>
                        </a:xfrm>
                        <a:prstGeom prst="rect">
                          <a:avLst/>
                        </a:prstGeom>
                        <a:ln w="0">
                          <a:noFill/>
                        </a:ln>
                        <a:effectLst>
                          <a:outerShdw algn="tl" blurRad="291960" dir="2700000" dist="138988" rotWithShape="0">
                            <a:srgbClr val="333333">
                              <a:alpha val="65000"/>
                            </a:srgbClr>
                          </a:outerShdw>
                        </a:effectLst>
                      </pic:spPr>
                    </pic:pic>
                  </a:graphicData>
                </a:graphic>
              </wp:inline>
            </w:drawing>
          </mc:Choice>
          <mc:Fallback>
            <w:pict>
              <v:shape id="shape_0" ID="fig.3.JPG" stroked="f" o:allowincell="f" style="position:absolute;margin-left:0pt;margin-top:-283.55pt;width:216.7pt;height:248.95pt;mso-wrap-style:none;v-text-anchor:middle;mso-position-vertical:top" type="_x0000_t75">
                <v:imagedata r:id="rId5" o:detectmouseclick="t"/>
                <v:stroke color="#3465a4" joinstyle="round" endcap="flat"/>
                <w10:wrap type="square"/>
              </v:shape>
            </w:pict>
          </mc:Fallback>
        </mc:AlternateContent>
      </w:r>
    </w:p>
    <w:p>
      <w:pPr>
        <w:pStyle w:val="Normal"/>
        <w:rPr>
          <w:rFonts w:ascii="Century" w:hAnsi="Century"/>
          <w:sz w:val="24"/>
          <w:szCs w:val="24"/>
        </w:rPr>
      </w:pPr>
      <w:r>
        <w:rPr>
          <w:rFonts w:ascii="Century" w:hAnsi="Century"/>
          <w:sz w:val="24"/>
          <w:szCs w:val="24"/>
        </w:rPr>
        <w:tab/>
        <w:t>Тя се състои от пренасящ и едновременно позициониращ механизъм, повдигащ и поставяща работна ръка, камера за разпознаване на частите и камера, разпознаваща детайла. Роботът (работната ръка) ще повдигане елемента и ще го монтира върху детайла, тогава когато са разпознати и коригирани каквито и да било грешки, касаещи го.</w:t>
      </w:r>
    </w:p>
    <w:p>
      <w:pPr>
        <w:pStyle w:val="Normal"/>
        <w:rPr>
          <w:rFonts w:ascii="Century" w:hAnsi="Century"/>
          <w:sz w:val="24"/>
          <w:szCs w:val="24"/>
        </w:rPr>
      </w:pPr>
      <w:r>
        <w:rPr>
          <w:rFonts w:ascii="Century" w:hAnsi="Century"/>
          <w:sz w:val="24"/>
          <w:szCs w:val="24"/>
        </w:rPr>
        <w:tab/>
        <w:t xml:space="preserve">В зависимост от желаната точност, вида на изделието или целта на производството, някои от частите на машината могат да бъдат заменени с други, като образуват една изцяло нова система. </w:t>
      </w:r>
    </w:p>
    <w:p>
      <w:pPr>
        <w:pStyle w:val="Normal"/>
        <w:jc w:val="center"/>
        <w:rPr>
          <w:rFonts w:ascii="Century" w:hAnsi="Century"/>
          <w:sz w:val="24"/>
          <w:szCs w:val="24"/>
        </w:rPr>
      </w:pPr>
      <w:r>
        <w:rPr/>
        <mc:AlternateContent>
          <mc:Choice Requires="wps">
            <w:drawing>
              <wp:inline distT="0" distB="0" distL="0" distR="0">
                <wp:extent cx="2603500" cy="3073400"/>
                <wp:effectExtent l="171450" t="133350" r="368152" b="298691"/>
                <wp:docPr id="6" name="fig.4.JPG"/>
                <a:graphic xmlns:a="http://schemas.openxmlformats.org/drawingml/2006/main">
                  <a:graphicData uri="http://schemas.openxmlformats.org/drawingml/2006/picture">
                    <pic:pic xmlns:pic="http://schemas.openxmlformats.org/drawingml/2006/picture">
                      <pic:nvPicPr>
                        <pic:cNvPr id="3" name="fig.4.JPG" descr=""/>
                        <pic:cNvPicPr/>
                      </pic:nvPicPr>
                      <pic:blipFill>
                        <a:blip r:embed="rId6"/>
                        <a:stretch/>
                      </pic:blipFill>
                      <pic:spPr>
                        <a:xfrm>
                          <a:off x="0" y="0"/>
                          <a:ext cx="2603520" cy="3073320"/>
                        </a:xfrm>
                        <a:prstGeom prst="rect">
                          <a:avLst/>
                        </a:prstGeom>
                        <a:ln w="0">
                          <a:noFill/>
                        </a:ln>
                        <a:effectLst>
                          <a:outerShdw algn="tl" blurRad="291960" dir="2700000" dist="138988" rotWithShape="0">
                            <a:srgbClr val="333333">
                              <a:alpha val="65000"/>
                            </a:srgbClr>
                          </a:outerShdw>
                        </a:effectLst>
                      </pic:spPr>
                    </pic:pic>
                  </a:graphicData>
                </a:graphic>
              </wp:inline>
            </w:drawing>
          </mc:Choice>
          <mc:Fallback>
            <w:pict>
              <v:shape id="shape_0" ID="fig.4.JPG" stroked="f" o:allowincell="f" style="position:absolute;margin-left:0pt;margin-top:-276.1pt;width:204.95pt;height:241.95pt;mso-wrap-style:none;v-text-anchor:middle;mso-position-vertical:top" type="_x0000_t75">
                <v:imagedata r:id="rId6" o:detectmouseclick="t"/>
                <v:stroke color="#3465a4" joinstyle="round" endcap="flat"/>
                <w10:wrap type="square"/>
              </v:shape>
            </w:pict>
          </mc:Fallback>
        </mc:AlternateContent>
      </w:r>
    </w:p>
    <w:p>
      <w:pPr>
        <w:pStyle w:val="Normal"/>
        <w:rPr>
          <w:rFonts w:ascii="Century" w:hAnsi="Century"/>
          <w:sz w:val="24"/>
          <w:szCs w:val="24"/>
          <w:lang w:eastAsia="bg-BG"/>
        </w:rPr>
      </w:pPr>
      <w:r>
        <w:rPr>
          <w:rFonts w:ascii="Century" w:hAnsi="Century"/>
          <w:sz w:val="24"/>
          <w:szCs w:val="24"/>
        </w:rPr>
        <w:tab/>
        <w:t>Позиционирането на работната маса, както е показано на снимката, може да бъде осъществено чрез поддържаща част(скара за кристали), управлявана от моторче.</w:t>
      </w:r>
      <w:r>
        <w:rPr>
          <w:rFonts w:ascii="Century" w:hAnsi="Century"/>
          <w:sz w:val="24"/>
          <w:szCs w:val="24"/>
          <w:lang w:eastAsia="bg-BG"/>
        </w:rPr>
        <w:t xml:space="preserve"> </w:t>
      </w:r>
    </w:p>
    <w:p>
      <w:pPr>
        <w:pStyle w:val="Normal"/>
        <w:jc w:val="center"/>
        <w:rPr>
          <w:rFonts w:ascii="Century" w:hAnsi="Century"/>
          <w:sz w:val="24"/>
          <w:szCs w:val="24"/>
        </w:rPr>
      </w:pPr>
      <w:r>
        <w:rPr/>
        <mc:AlternateContent>
          <mc:Choice Requires="wps">
            <w:drawing>
              <wp:inline distT="0" distB="0" distL="0" distR="0">
                <wp:extent cx="2497455" cy="3181985"/>
                <wp:effectExtent l="171450" t="133350" r="360177" b="304376"/>
                <wp:docPr id="7" name="fig.5.JPG"/>
                <a:graphic xmlns:a="http://schemas.openxmlformats.org/drawingml/2006/main">
                  <a:graphicData uri="http://schemas.openxmlformats.org/drawingml/2006/picture">
                    <pic:pic xmlns:pic="http://schemas.openxmlformats.org/drawingml/2006/picture">
                      <pic:nvPicPr>
                        <pic:cNvPr id="4" name="fig.5.JPG" descr=""/>
                        <pic:cNvPicPr/>
                      </pic:nvPicPr>
                      <pic:blipFill>
                        <a:blip r:embed="rId7"/>
                        <a:stretch/>
                      </pic:blipFill>
                      <pic:spPr>
                        <a:xfrm>
                          <a:off x="0" y="0"/>
                          <a:ext cx="2497320" cy="3182040"/>
                        </a:xfrm>
                        <a:prstGeom prst="rect">
                          <a:avLst/>
                        </a:prstGeom>
                        <a:ln w="0">
                          <a:noFill/>
                        </a:ln>
                        <a:effectLst>
                          <a:outerShdw algn="tl" blurRad="291960" dir="2700000" dist="138988" rotWithShape="0">
                            <a:srgbClr val="333333">
                              <a:alpha val="65000"/>
                            </a:srgbClr>
                          </a:outerShdw>
                        </a:effectLst>
                      </pic:spPr>
                    </pic:pic>
                  </a:graphicData>
                </a:graphic>
              </wp:inline>
            </w:drawing>
          </mc:Choice>
          <mc:Fallback>
            <w:pict>
              <v:shape id="shape_0" ID="fig.5.JPG" stroked="f" o:allowincell="f" style="position:absolute;margin-left:0pt;margin-top:-285.05pt;width:196.6pt;height:250.5pt;mso-wrap-style:none;v-text-anchor:middle;mso-position-vertical:top" type="_x0000_t75">
                <v:imagedata r:id="rId7" o:detectmouseclick="t"/>
                <v:stroke color="#3465a4" joinstyle="round" endcap="flat"/>
                <w10:wrap type="square"/>
              </v:shape>
            </w:pict>
          </mc:Fallback>
        </mc:AlternateContent>
      </w:r>
    </w:p>
    <w:p>
      <w:pPr>
        <w:pStyle w:val="Normal"/>
        <w:rPr>
          <w:rFonts w:ascii="Century" w:hAnsi="Century"/>
          <w:sz w:val="24"/>
          <w:szCs w:val="24"/>
        </w:rPr>
      </w:pPr>
      <w:r>
        <w:rPr>
          <w:rFonts w:ascii="Century" w:hAnsi="Century"/>
          <w:sz w:val="24"/>
          <w:szCs w:val="24"/>
        </w:rPr>
        <w:tab/>
        <w:t xml:space="preserve">На следващата фигура е показана снимка на машина за монтаж на топчета с диаметър от 0,1 до 0,2 мм. Освен елементи със сферична форма, тази машина може да се използва също за монтиране на правоъгълни, паралелепипедни елементи, като например чиповете 0603 или болтове. Освен това, захранващото устройство може да бъде конструирано с дебелина около 10 мм, множество захранващи блокове могат да бъдат включени в един асемблиращ блок. Съответно една машина за комплектоване може да бъде използвана за монтаж на няколко части. </w:t>
      </w:r>
    </w:p>
    <w:p>
      <w:pPr>
        <w:pStyle w:val="Normal"/>
        <w:rPr>
          <w:rFonts w:ascii="Century" w:hAnsi="Century"/>
          <w:sz w:val="24"/>
          <w:szCs w:val="24"/>
        </w:rPr>
      </w:pPr>
      <w:r>
        <w:rPr>
          <w:rFonts w:ascii="Century" w:hAnsi="Century"/>
          <w:sz w:val="24"/>
          <w:szCs w:val="24"/>
        </w:rPr>
        <w:tab/>
        <w:t xml:space="preserve">В българската промишленост се използват различни видове машини за разполагане, както вносни, така и собствено производство. В някои случаи може да се използва базова конфигурация, на която да се разработи ново управление (например както е при машина </w:t>
      </w:r>
      <w:r>
        <w:rPr>
          <w:rFonts w:ascii="Century" w:hAnsi="Century"/>
          <w:sz w:val="24"/>
          <w:szCs w:val="24"/>
          <w:lang w:val="en-US"/>
        </w:rPr>
        <w:t>MPS 109 TW)</w:t>
      </w:r>
      <w:r>
        <w:rPr>
          <w:rFonts w:ascii="Century" w:hAnsi="Century"/>
          <w:sz w:val="24"/>
          <w:szCs w:val="24"/>
        </w:rPr>
        <w:t>.</w:t>
      </w:r>
    </w:p>
    <w:p>
      <w:pPr>
        <w:pStyle w:val="Normal"/>
        <w:rPr>
          <w:rFonts w:ascii="Century" w:hAnsi="Century"/>
          <w:sz w:val="24"/>
          <w:szCs w:val="24"/>
        </w:rPr>
      </w:pPr>
      <w:r>
        <w:rPr>
          <w:rFonts w:ascii="Century" w:hAnsi="Century"/>
          <w:sz w:val="24"/>
          <w:szCs w:val="24"/>
        </w:rPr>
        <w:tab/>
        <w:t>Програмите за разполагане трябва да управляват възлите на машината и същевременно да имат достъп до данни свързани с монтажа. За тази цел са нужни данни за платката, за инструментите, захранващите устройства, за самите елементи, съпътстващи процедури.</w:t>
      </w:r>
    </w:p>
    <w:p>
      <w:pPr>
        <w:pStyle w:val="Normal"/>
        <w:rPr>
          <w:rFonts w:ascii="Century" w:hAnsi="Century"/>
          <w:sz w:val="24"/>
          <w:szCs w:val="24"/>
        </w:rPr>
      </w:pPr>
      <w:r>
        <w:rPr>
          <w:rFonts w:ascii="Century" w:hAnsi="Century"/>
          <w:sz w:val="24"/>
          <w:szCs w:val="24"/>
        </w:rPr>
        <w:tab/>
        <w:t xml:space="preserve">Създаването на програмата може да се осъществи чрез интерфейс към персонален компютър и използване на менюта от високо ниво (фиг.9) или чрез приложен софтуер непосредствено въвеждан в блока за управление на машината (както е при </w:t>
      </w:r>
      <w:r>
        <w:rPr>
          <w:rFonts w:ascii="Century" w:hAnsi="Century"/>
          <w:sz w:val="24"/>
          <w:szCs w:val="24"/>
          <w:lang w:val="en-US"/>
        </w:rPr>
        <w:t>MPS109).</w:t>
      </w:r>
    </w:p>
    <w:p>
      <w:pPr>
        <w:pStyle w:val="Normal"/>
        <w:rPr>
          <w:rFonts w:ascii="Century" w:hAnsi="Century"/>
          <w:sz w:val="24"/>
          <w:szCs w:val="24"/>
        </w:rPr>
      </w:pPr>
      <w:r>
        <w:rPr>
          <w:rFonts w:ascii="Century" w:hAnsi="Century"/>
          <w:sz w:val="24"/>
          <w:szCs w:val="24"/>
        </w:rPr>
      </w:r>
    </w:p>
    <w:p>
      <w:pPr>
        <w:pStyle w:val="Normal"/>
        <w:jc w:val="center"/>
        <w:rPr>
          <w:rFonts w:ascii="Century" w:hAnsi="Century"/>
          <w:sz w:val="24"/>
          <w:szCs w:val="24"/>
        </w:rPr>
      </w:pPr>
      <w:r>
        <w:rPr/>
        <mc:AlternateContent>
          <mc:Choice Requires="wps">
            <w:drawing>
              <wp:inline distT="0" distB="0" distL="0" distR="0">
                <wp:extent cx="4198620" cy="2950210"/>
                <wp:effectExtent l="171450" t="133350" r="354797" b="307459"/>
                <wp:docPr id="8" name="DSCN8508.JPG"/>
                <a:graphic xmlns:a="http://schemas.openxmlformats.org/drawingml/2006/main">
                  <a:graphicData uri="http://schemas.openxmlformats.org/drawingml/2006/picture">
                    <pic:pic xmlns:pic="http://schemas.openxmlformats.org/drawingml/2006/picture">
                      <pic:nvPicPr>
                        <pic:cNvPr id="5" name="DSCN8508.JPG" descr=""/>
                        <pic:cNvPicPr/>
                      </pic:nvPicPr>
                      <pic:blipFill>
                        <a:blip r:embed="rId8"/>
                        <a:stretch/>
                      </pic:blipFill>
                      <pic:spPr>
                        <a:xfrm>
                          <a:off x="0" y="0"/>
                          <a:ext cx="4198680" cy="2950200"/>
                        </a:xfrm>
                        <a:prstGeom prst="rect">
                          <a:avLst/>
                        </a:prstGeom>
                        <a:ln w="0">
                          <a:noFill/>
                        </a:ln>
                        <a:effectLst>
                          <a:outerShdw algn="tl" blurRad="291960" dir="2700000" dist="138988" rotWithShape="0">
                            <a:srgbClr val="333333">
                              <a:alpha val="65000"/>
                            </a:srgbClr>
                          </a:outerShdw>
                        </a:effectLst>
                      </pic:spPr>
                    </pic:pic>
                  </a:graphicData>
                </a:graphic>
              </wp:inline>
            </w:drawing>
          </mc:Choice>
          <mc:Fallback>
            <w:pict>
              <v:shape id="shape_0" ID="DSCN8508.JPG" stroked="f" o:allowincell="f" style="position:absolute;margin-left:0pt;margin-top:-267.05pt;width:330.55pt;height:232.25pt;mso-wrap-style:none;v-text-anchor:middle;mso-position-vertical:top" type="_x0000_t75">
                <v:imagedata r:id="rId8" o:detectmouseclick="t"/>
                <v:stroke color="#3465a4" joinstyle="round" endcap="flat"/>
                <w10:wrap type="square"/>
              </v:shape>
            </w:pict>
          </mc:Fallback>
        </mc:AlternateContent>
      </w:r>
    </w:p>
    <w:p>
      <w:pPr>
        <w:pStyle w:val="Normal"/>
        <w:jc w:val="center"/>
        <w:rPr>
          <w:rFonts w:ascii="Century" w:hAnsi="Century"/>
          <w:sz w:val="24"/>
          <w:szCs w:val="24"/>
        </w:rPr>
      </w:pPr>
      <w:r>
        <w:rPr>
          <w:rFonts w:ascii="Century" w:hAnsi="Century"/>
          <w:sz w:val="24"/>
          <w:szCs w:val="24"/>
        </w:rPr>
        <w:t>Фиг.9. Основно меню за програмиране</w:t>
      </w:r>
    </w:p>
    <w:p>
      <w:pPr>
        <w:pStyle w:val="Normal"/>
        <w:spacing w:before="0" w:after="0"/>
        <w:rPr>
          <w:rFonts w:ascii="Century" w:hAnsi="Century"/>
          <w:sz w:val="24"/>
          <w:szCs w:val="24"/>
        </w:rPr>
      </w:pPr>
      <w:r>
        <w:rPr>
          <w:rFonts w:ascii="Century" w:hAnsi="Century"/>
          <w:sz w:val="24"/>
          <w:szCs w:val="24"/>
          <w:lang w:val="en-US"/>
        </w:rPr>
        <w:tab/>
      </w:r>
      <w:r>
        <w:rPr>
          <w:rFonts w:ascii="Century" w:hAnsi="Century"/>
          <w:sz w:val="24"/>
          <w:szCs w:val="24"/>
        </w:rPr>
        <w:t>В зависимост от нивото на машината и степента на автоматизираността й, се въвеждат различни данни. Могат да се въвеждат данни за непосредствено управление на изпълнителните органи или разширени обхващащи параметрите на платката, идентификационни данни за клиента, параметри на елементите и други.</w:t>
      </w:r>
    </w:p>
    <w:p>
      <w:pPr>
        <w:pStyle w:val="Normal"/>
        <w:spacing w:before="0" w:after="0"/>
        <w:rPr>
          <w:rFonts w:ascii="Century" w:hAnsi="Century"/>
          <w:sz w:val="24"/>
          <w:szCs w:val="24"/>
        </w:rPr>
      </w:pPr>
      <w:r>
        <w:rPr>
          <w:rFonts w:ascii="Century" w:hAnsi="Century"/>
          <w:sz w:val="24"/>
          <w:szCs w:val="24"/>
        </w:rPr>
        <w:tab/>
        <w:t xml:space="preserve">Например за машината </w:t>
      </w:r>
      <w:r>
        <w:rPr>
          <w:rFonts w:ascii="Century" w:hAnsi="Century"/>
          <w:sz w:val="24"/>
          <w:szCs w:val="24"/>
          <w:lang w:val="en-US"/>
        </w:rPr>
        <w:t>PLM2000</w:t>
      </w:r>
      <w:r>
        <w:rPr>
          <w:rFonts w:ascii="Century" w:hAnsi="Century"/>
          <w:sz w:val="24"/>
          <w:szCs w:val="24"/>
        </w:rPr>
        <w:t xml:space="preserve"> е създаден специален програмен модул. Той съдържа връзката между елемента, захранващото устройство и корпуса. Всеки корпус е с маркировка позволяваща правилното му ориентиране. Пример за този модул е показан на фиг. 10.</w:t>
      </w:r>
    </w:p>
    <w:p>
      <w:pPr>
        <w:pStyle w:val="Normal"/>
        <w:jc w:val="center"/>
        <w:rPr>
          <w:rFonts w:ascii="Century" w:hAnsi="Century"/>
          <w:sz w:val="24"/>
          <w:szCs w:val="24"/>
        </w:rPr>
      </w:pPr>
      <w:r>
        <w:rPr/>
        <mc:AlternateContent>
          <mc:Choice Requires="wps">
            <w:drawing>
              <wp:inline distT="0" distB="0" distL="0" distR="0">
                <wp:extent cx="4627245" cy="2668270"/>
                <wp:effectExtent l="171450" t="133350" r="363722" b="303611"/>
                <wp:docPr id="9" name="DSCN8509.JPG"/>
                <a:graphic xmlns:a="http://schemas.openxmlformats.org/drawingml/2006/main">
                  <a:graphicData uri="http://schemas.openxmlformats.org/drawingml/2006/picture">
                    <pic:pic xmlns:pic="http://schemas.openxmlformats.org/drawingml/2006/picture">
                      <pic:nvPicPr>
                        <pic:cNvPr id="6" name="DSCN8509.JPG" descr=""/>
                        <pic:cNvPicPr/>
                      </pic:nvPicPr>
                      <pic:blipFill>
                        <a:blip r:embed="rId9"/>
                        <a:stretch/>
                      </pic:blipFill>
                      <pic:spPr>
                        <a:xfrm>
                          <a:off x="0" y="0"/>
                          <a:ext cx="4627080" cy="2668320"/>
                        </a:xfrm>
                        <a:prstGeom prst="rect">
                          <a:avLst/>
                        </a:prstGeom>
                        <a:ln w="0">
                          <a:noFill/>
                        </a:ln>
                        <a:effectLst>
                          <a:outerShdw algn="tl" blurRad="291960" dir="2700000" dist="138988" rotWithShape="0">
                            <a:srgbClr val="333333">
                              <a:alpha val="65000"/>
                            </a:srgbClr>
                          </a:outerShdw>
                        </a:effectLst>
                      </pic:spPr>
                    </pic:pic>
                  </a:graphicData>
                </a:graphic>
              </wp:inline>
            </w:drawing>
          </mc:Choice>
          <mc:Fallback>
            <w:pict>
              <v:shape id="shape_0" ID="DSCN8509.JPG" stroked="f" o:allowincell="f" style="position:absolute;margin-left:0pt;margin-top:-244.55pt;width:364.3pt;height:210.05pt;mso-wrap-style:none;v-text-anchor:middle;mso-position-vertical:top" type="_x0000_t75">
                <v:imagedata r:id="rId9" o:detectmouseclick="t"/>
                <v:stroke color="#3465a4" joinstyle="round" endcap="flat"/>
                <w10:wrap type="square"/>
              </v:shape>
            </w:pict>
          </mc:Fallback>
        </mc:AlternateContent>
      </w:r>
    </w:p>
    <w:p>
      <w:pPr>
        <w:pStyle w:val="Normal"/>
        <w:jc w:val="center"/>
        <w:rPr>
          <w:rFonts w:ascii="Century" w:hAnsi="Century"/>
          <w:sz w:val="24"/>
          <w:szCs w:val="24"/>
        </w:rPr>
      </w:pPr>
      <w:r>
        <w:rPr>
          <w:rFonts w:ascii="Century" w:hAnsi="Century"/>
          <w:sz w:val="24"/>
          <w:szCs w:val="24"/>
        </w:rPr>
        <w:t>Фиг.10. Екран с данни за елементи</w:t>
      </w:r>
    </w:p>
    <w:p>
      <w:pPr>
        <w:pStyle w:val="Normal"/>
        <w:rPr>
          <w:rFonts w:ascii="Century" w:hAnsi="Century"/>
          <w:sz w:val="24"/>
          <w:szCs w:val="24"/>
        </w:rPr>
      </w:pPr>
      <w:r>
        <w:rPr>
          <w:rFonts w:ascii="Century" w:hAnsi="Century"/>
          <w:sz w:val="24"/>
          <w:szCs w:val="24"/>
        </w:rPr>
        <w:tab/>
        <w:t>Машината тип МР</w:t>
      </w:r>
      <w:r>
        <w:rPr>
          <w:rFonts w:ascii="Century" w:hAnsi="Century"/>
          <w:sz w:val="24"/>
          <w:szCs w:val="24"/>
          <w:lang w:val="en-US"/>
        </w:rPr>
        <w:t xml:space="preserve">S 109 TU </w:t>
      </w:r>
      <w:r>
        <w:rPr>
          <w:rFonts w:ascii="Century" w:hAnsi="Century"/>
          <w:sz w:val="24"/>
          <w:szCs w:val="24"/>
        </w:rPr>
        <w:t xml:space="preserve"> с въртяща се глава, е показана на фиг.11.На снимката се вижда външният вид на работната зона и част от магазините.</w:t>
      </w:r>
    </w:p>
    <w:p>
      <w:pPr>
        <w:pStyle w:val="Normal"/>
        <w:jc w:val="center"/>
        <w:rPr>
          <w:rFonts w:ascii="Century" w:hAnsi="Century"/>
          <w:sz w:val="24"/>
          <w:szCs w:val="24"/>
        </w:rPr>
      </w:pPr>
      <w:r>
        <w:rPr/>
        <mc:AlternateContent>
          <mc:Choice Requires="wps">
            <w:drawing>
              <wp:inline distT="0" distB="0" distL="0" distR="0">
                <wp:extent cx="2762885" cy="1791970"/>
                <wp:effectExtent l="171450" t="133350" r="361064" b="303361"/>
                <wp:docPr id="10" name="DSCN8510.JPG"/>
                <a:graphic xmlns:a="http://schemas.openxmlformats.org/drawingml/2006/main">
                  <a:graphicData uri="http://schemas.openxmlformats.org/drawingml/2006/picture">
                    <pic:pic xmlns:pic="http://schemas.openxmlformats.org/drawingml/2006/picture">
                      <pic:nvPicPr>
                        <pic:cNvPr id="7" name="DSCN8510.JPG" descr=""/>
                        <pic:cNvPicPr/>
                      </pic:nvPicPr>
                      <pic:blipFill>
                        <a:blip r:embed="rId10"/>
                        <a:stretch/>
                      </pic:blipFill>
                      <pic:spPr>
                        <a:xfrm>
                          <a:off x="0" y="0"/>
                          <a:ext cx="2763000" cy="1792080"/>
                        </a:xfrm>
                        <a:prstGeom prst="rect">
                          <a:avLst/>
                        </a:prstGeom>
                        <a:ln w="0">
                          <a:noFill/>
                        </a:ln>
                        <a:effectLst>
                          <a:outerShdw algn="tl" blurRad="291960" dir="2700000" dist="138988" rotWithShape="0">
                            <a:srgbClr val="333333">
                              <a:alpha val="65000"/>
                            </a:srgbClr>
                          </a:outerShdw>
                        </a:effectLst>
                      </pic:spPr>
                    </pic:pic>
                  </a:graphicData>
                </a:graphic>
              </wp:inline>
            </w:drawing>
          </mc:Choice>
          <mc:Fallback>
            <w:pict>
              <v:shape id="shape_0" ID="DSCN8510.JPG" stroked="f" o:allowincell="f" style="position:absolute;margin-left:0pt;margin-top:-175.55pt;width:217.5pt;height:141.05pt;mso-wrap-style:none;v-text-anchor:middle;mso-position-vertical:top" type="_x0000_t75">
                <v:imagedata r:id="rId10" o:detectmouseclick="t"/>
                <v:stroke color="#3465a4" joinstyle="round" endcap="flat"/>
                <w10:wrap type="square"/>
              </v:shape>
            </w:pict>
          </mc:Fallback>
        </mc:AlternateContent>
      </w:r>
    </w:p>
    <w:p>
      <w:pPr>
        <w:pStyle w:val="Normal"/>
        <w:jc w:val="center"/>
        <w:rPr>
          <w:rFonts w:ascii="Century" w:hAnsi="Century"/>
          <w:sz w:val="24"/>
          <w:szCs w:val="24"/>
        </w:rPr>
      </w:pPr>
      <w:r>
        <w:rPr>
          <w:rFonts w:ascii="Century" w:hAnsi="Century"/>
          <w:sz w:val="24"/>
          <w:szCs w:val="24"/>
        </w:rPr>
      </w:r>
    </w:p>
    <w:p>
      <w:pPr>
        <w:pStyle w:val="Normal"/>
        <w:jc w:val="center"/>
        <w:rPr>
          <w:rFonts w:ascii="Century" w:hAnsi="Century"/>
          <w:sz w:val="24"/>
          <w:szCs w:val="24"/>
          <w:lang w:val="en-US"/>
        </w:rPr>
      </w:pPr>
      <w:r>
        <w:rPr/>
        <mc:AlternateContent>
          <mc:Choice Requires="wps">
            <w:drawing>
              <wp:inline distT="0" distB="0" distL="0" distR="0">
                <wp:extent cx="5233035" cy="4164330"/>
                <wp:effectExtent l="171450" t="133350" r="367266" b="312297"/>
                <wp:docPr id="11" name="DSCN8511.JPG"/>
                <a:graphic xmlns:a="http://schemas.openxmlformats.org/drawingml/2006/main">
                  <a:graphicData uri="http://schemas.openxmlformats.org/drawingml/2006/picture">
                    <pic:pic xmlns:pic="http://schemas.openxmlformats.org/drawingml/2006/picture">
                      <pic:nvPicPr>
                        <pic:cNvPr id="8" name="DSCN8511.JPG" descr=""/>
                        <pic:cNvPicPr/>
                      </pic:nvPicPr>
                      <pic:blipFill>
                        <a:blip r:embed="rId11"/>
                        <a:stretch/>
                      </pic:blipFill>
                      <pic:spPr>
                        <a:xfrm>
                          <a:off x="0" y="0"/>
                          <a:ext cx="5232960" cy="4164480"/>
                        </a:xfrm>
                        <a:prstGeom prst="rect">
                          <a:avLst/>
                        </a:prstGeom>
                        <a:ln w="0">
                          <a:noFill/>
                        </a:ln>
                        <a:effectLst>
                          <a:outerShdw algn="tl" blurRad="291960" dir="2700000" dist="138988" rotWithShape="0">
                            <a:srgbClr val="333333">
                              <a:alpha val="65000"/>
                            </a:srgbClr>
                          </a:outerShdw>
                        </a:effectLst>
                      </pic:spPr>
                    </pic:pic>
                  </a:graphicData>
                </a:graphic>
              </wp:inline>
            </w:drawing>
          </mc:Choice>
          <mc:Fallback>
            <w:pict>
              <v:shape id="shape_0" ID="DSCN8511.JPG" stroked="f" o:allowincell="f" style="position:absolute;margin-left:0pt;margin-top:-363.05pt;width:412pt;height:327.85pt;mso-wrap-style:none;v-text-anchor:middle;mso-position-vertical:top" type="_x0000_t75">
                <v:imagedata r:id="rId11" o:detectmouseclick="t"/>
                <v:stroke color="#3465a4" joinstyle="round" endcap="flat"/>
                <w10:wrap type="square"/>
              </v:shape>
            </w:pict>
          </mc:Fallback>
        </mc:AlternateContent>
      </w:r>
    </w:p>
    <w:p>
      <w:pPr>
        <w:pStyle w:val="Normal"/>
        <w:jc w:val="center"/>
        <w:rPr>
          <w:rFonts w:ascii="Century" w:hAnsi="Century"/>
          <w:sz w:val="24"/>
          <w:szCs w:val="24"/>
        </w:rPr>
      </w:pPr>
      <w:r>
        <w:rPr>
          <w:rFonts w:ascii="Century" w:hAnsi="Century"/>
          <w:sz w:val="24"/>
          <w:szCs w:val="24"/>
        </w:rPr>
        <w:t xml:space="preserve">Фиг.11. Общ вид и схема на машина </w:t>
      </w:r>
      <w:r>
        <w:rPr>
          <w:rFonts w:ascii="Century" w:hAnsi="Century"/>
          <w:sz w:val="24"/>
          <w:szCs w:val="24"/>
          <w:lang w:val="en-US"/>
        </w:rPr>
        <w:t>MPS 109 TU</w:t>
      </w:r>
    </w:p>
    <w:p>
      <w:pPr>
        <w:pStyle w:val="Normal"/>
        <w:jc w:val="center"/>
        <w:rPr>
          <w:rFonts w:ascii="Century" w:hAnsi="Century"/>
          <w:sz w:val="24"/>
          <w:szCs w:val="24"/>
        </w:rPr>
      </w:pPr>
      <w:r>
        <w:rPr>
          <w:rFonts w:ascii="Century" w:hAnsi="Century"/>
          <w:sz w:val="24"/>
          <w:szCs w:val="24"/>
        </w:rPr>
      </w:r>
    </w:p>
    <w:p>
      <w:pPr>
        <w:pStyle w:val="Normal"/>
        <w:rPr>
          <w:rFonts w:ascii="Century" w:hAnsi="Century"/>
          <w:sz w:val="24"/>
          <w:szCs w:val="24"/>
        </w:rPr>
      </w:pPr>
      <w:r>
        <w:rPr>
          <w:rFonts w:ascii="Century" w:hAnsi="Century"/>
          <w:sz w:val="24"/>
          <w:szCs w:val="24"/>
        </w:rPr>
        <w:tab/>
        <w:t>Предназначението на органите е следното:</w:t>
      </w:r>
    </w:p>
    <w:p>
      <w:pPr>
        <w:pStyle w:val="Normal"/>
        <w:rPr>
          <w:rFonts w:ascii="Century" w:hAnsi="Century"/>
          <w:sz w:val="24"/>
          <w:szCs w:val="24"/>
        </w:rPr>
      </w:pPr>
      <w:r>
        <w:rPr>
          <w:rFonts w:ascii="Century" w:hAnsi="Century"/>
          <w:sz w:val="24"/>
          <w:szCs w:val="24"/>
        </w:rPr>
        <w:tab/>
      </w:r>
      <w:r>
        <w:rPr>
          <w:rFonts w:ascii="Century" w:hAnsi="Century"/>
          <w:b/>
          <w:i/>
          <w:sz w:val="24"/>
          <w:szCs w:val="24"/>
        </w:rPr>
        <w:t>1-</w:t>
      </w:r>
      <w:r>
        <w:rPr>
          <w:rFonts w:ascii="Century" w:hAnsi="Century"/>
          <w:sz w:val="24"/>
          <w:szCs w:val="24"/>
        </w:rPr>
        <w:t xml:space="preserve"> Главен шалтер за включване на захранването.</w:t>
      </w:r>
    </w:p>
    <w:p>
      <w:pPr>
        <w:pStyle w:val="Normal"/>
        <w:rPr>
          <w:rFonts w:ascii="Century" w:hAnsi="Century"/>
          <w:sz w:val="24"/>
          <w:szCs w:val="24"/>
        </w:rPr>
      </w:pPr>
      <w:r>
        <w:rPr>
          <w:rFonts w:ascii="Century" w:hAnsi="Century"/>
          <w:sz w:val="24"/>
          <w:szCs w:val="24"/>
        </w:rPr>
        <w:tab/>
      </w:r>
      <w:r>
        <w:rPr>
          <w:rFonts w:ascii="Century" w:hAnsi="Century"/>
          <w:b/>
          <w:i/>
          <w:sz w:val="24"/>
          <w:szCs w:val="24"/>
        </w:rPr>
        <w:t>2-</w:t>
      </w:r>
      <w:r>
        <w:rPr>
          <w:rFonts w:ascii="Century" w:hAnsi="Century"/>
          <w:sz w:val="24"/>
          <w:szCs w:val="24"/>
        </w:rPr>
        <w:t xml:space="preserve"> Зелен бутон за включване на машината.</w:t>
      </w:r>
    </w:p>
    <w:p>
      <w:pPr>
        <w:pStyle w:val="Normal"/>
        <w:rPr>
          <w:rFonts w:ascii="Century" w:hAnsi="Century"/>
          <w:sz w:val="24"/>
          <w:szCs w:val="24"/>
        </w:rPr>
      </w:pPr>
      <w:r>
        <w:rPr>
          <w:rFonts w:ascii="Century" w:hAnsi="Century"/>
          <w:sz w:val="24"/>
          <w:szCs w:val="24"/>
        </w:rPr>
        <w:tab/>
      </w:r>
      <w:r>
        <w:rPr>
          <w:rFonts w:ascii="Century" w:hAnsi="Century"/>
          <w:b/>
          <w:i/>
          <w:sz w:val="24"/>
          <w:szCs w:val="24"/>
        </w:rPr>
        <w:t>3-</w:t>
      </w:r>
      <w:r>
        <w:rPr>
          <w:rFonts w:ascii="Century" w:hAnsi="Century"/>
          <w:sz w:val="24"/>
          <w:szCs w:val="24"/>
        </w:rPr>
        <w:t xml:space="preserve"> Секретна ключалка за включване на вакуумния сензор и управлението на програмирането.</w:t>
      </w:r>
    </w:p>
    <w:p>
      <w:pPr>
        <w:pStyle w:val="Normal"/>
        <w:rPr>
          <w:rFonts w:ascii="Century" w:hAnsi="Century"/>
          <w:sz w:val="24"/>
          <w:szCs w:val="24"/>
        </w:rPr>
      </w:pPr>
      <w:r>
        <w:rPr>
          <w:rFonts w:ascii="Century" w:hAnsi="Century"/>
          <w:sz w:val="24"/>
          <w:szCs w:val="24"/>
        </w:rPr>
        <w:tab/>
      </w:r>
      <w:r>
        <w:rPr>
          <w:rFonts w:ascii="Century" w:hAnsi="Century"/>
          <w:b/>
          <w:i/>
          <w:sz w:val="24"/>
          <w:szCs w:val="24"/>
        </w:rPr>
        <w:t>4-</w:t>
      </w:r>
      <w:r>
        <w:rPr>
          <w:rFonts w:ascii="Century" w:hAnsi="Century"/>
          <w:sz w:val="24"/>
          <w:szCs w:val="24"/>
        </w:rPr>
        <w:t xml:space="preserve"> Гумено маркуче за подаване на вакуум към подвижната масичка за кристали.</w:t>
      </w:r>
    </w:p>
    <w:p>
      <w:pPr>
        <w:pStyle w:val="Normal"/>
        <w:rPr>
          <w:rFonts w:ascii="Century" w:hAnsi="Century"/>
          <w:sz w:val="24"/>
          <w:szCs w:val="24"/>
        </w:rPr>
      </w:pPr>
      <w:r>
        <w:rPr>
          <w:rFonts w:ascii="Century" w:hAnsi="Century"/>
          <w:sz w:val="24"/>
          <w:szCs w:val="24"/>
        </w:rPr>
        <w:tab/>
      </w:r>
      <w:r>
        <w:rPr>
          <w:rFonts w:ascii="Century" w:hAnsi="Century"/>
          <w:b/>
          <w:i/>
          <w:sz w:val="24"/>
          <w:szCs w:val="24"/>
        </w:rPr>
        <w:t>5-</w:t>
      </w:r>
      <w:r>
        <w:rPr>
          <w:rFonts w:ascii="Century" w:hAnsi="Century"/>
          <w:sz w:val="24"/>
          <w:szCs w:val="24"/>
        </w:rPr>
        <w:t xml:space="preserve"> Въртящ се резервоар за свързващ материал.</w:t>
      </w:r>
    </w:p>
    <w:p>
      <w:pPr>
        <w:pStyle w:val="Normal"/>
        <w:rPr>
          <w:rFonts w:ascii="Century" w:hAnsi="Century"/>
          <w:sz w:val="24"/>
          <w:szCs w:val="24"/>
        </w:rPr>
      </w:pPr>
      <w:r>
        <w:rPr>
          <w:rFonts w:ascii="Century" w:hAnsi="Century"/>
          <w:sz w:val="24"/>
          <w:szCs w:val="24"/>
        </w:rPr>
        <w:tab/>
      </w:r>
      <w:r>
        <w:rPr>
          <w:rFonts w:ascii="Century" w:hAnsi="Century"/>
          <w:b/>
          <w:i/>
          <w:sz w:val="24"/>
          <w:szCs w:val="24"/>
        </w:rPr>
        <w:t>6-</w:t>
      </w:r>
      <w:r>
        <w:rPr>
          <w:rFonts w:ascii="Century" w:hAnsi="Century"/>
          <w:sz w:val="24"/>
          <w:szCs w:val="24"/>
        </w:rPr>
        <w:t xml:space="preserve"> Подвижен плот за поставяне на малки масички (държатели на кристали).</w:t>
      </w:r>
    </w:p>
    <w:p>
      <w:pPr>
        <w:pStyle w:val="Normal"/>
        <w:rPr>
          <w:rFonts w:ascii="Century" w:hAnsi="Century"/>
          <w:sz w:val="24"/>
          <w:szCs w:val="24"/>
        </w:rPr>
      </w:pPr>
      <w:r>
        <w:rPr>
          <w:rFonts w:ascii="Century" w:hAnsi="Century"/>
          <w:sz w:val="24"/>
          <w:szCs w:val="24"/>
        </w:rPr>
        <w:tab/>
      </w:r>
      <w:r>
        <w:rPr>
          <w:rFonts w:ascii="Century" w:hAnsi="Century"/>
          <w:b/>
          <w:i/>
          <w:sz w:val="24"/>
          <w:szCs w:val="24"/>
        </w:rPr>
        <w:t>7-</w:t>
      </w:r>
      <w:r>
        <w:rPr>
          <w:rFonts w:ascii="Century" w:hAnsi="Century"/>
          <w:sz w:val="24"/>
          <w:szCs w:val="24"/>
        </w:rPr>
        <w:t xml:space="preserve"> Сензор за определяне позицията на подвижния плот.</w:t>
      </w:r>
    </w:p>
    <w:p>
      <w:pPr>
        <w:pStyle w:val="Normal"/>
        <w:rPr>
          <w:rFonts w:ascii="Century" w:hAnsi="Century"/>
          <w:sz w:val="24"/>
          <w:szCs w:val="24"/>
        </w:rPr>
      </w:pPr>
      <w:r>
        <w:rPr>
          <w:rFonts w:ascii="Century" w:hAnsi="Century"/>
          <w:sz w:val="24"/>
          <w:szCs w:val="24"/>
        </w:rPr>
        <w:tab/>
      </w:r>
      <w:r>
        <w:rPr>
          <w:rFonts w:ascii="Century" w:hAnsi="Century"/>
          <w:b/>
          <w:i/>
          <w:sz w:val="24"/>
          <w:szCs w:val="24"/>
        </w:rPr>
        <w:t>8-</w:t>
      </w:r>
      <w:r>
        <w:rPr>
          <w:rFonts w:ascii="Century" w:hAnsi="Century"/>
          <w:sz w:val="24"/>
          <w:szCs w:val="24"/>
        </w:rPr>
        <w:t xml:space="preserve"> Работна маса за поставяне на подложката (платката).</w:t>
      </w:r>
    </w:p>
    <w:p>
      <w:pPr>
        <w:pStyle w:val="Normal"/>
        <w:rPr>
          <w:rFonts w:ascii="Century" w:hAnsi="Century"/>
          <w:sz w:val="24"/>
          <w:szCs w:val="24"/>
        </w:rPr>
      </w:pPr>
      <w:r>
        <w:rPr>
          <w:rFonts w:ascii="Century" w:hAnsi="Century"/>
          <w:sz w:val="24"/>
          <w:szCs w:val="24"/>
        </w:rPr>
        <w:tab/>
      </w:r>
      <w:r>
        <w:rPr>
          <w:rFonts w:ascii="Century" w:hAnsi="Century"/>
          <w:b/>
          <w:i/>
          <w:sz w:val="24"/>
          <w:szCs w:val="24"/>
        </w:rPr>
        <w:t>9-</w:t>
      </w:r>
      <w:r>
        <w:rPr>
          <w:rFonts w:ascii="Century" w:hAnsi="Century"/>
          <w:sz w:val="24"/>
          <w:szCs w:val="24"/>
        </w:rPr>
        <w:t xml:space="preserve"> Устройство за подаване на елементи.</w:t>
      </w:r>
    </w:p>
    <w:p>
      <w:pPr>
        <w:pStyle w:val="Normal"/>
        <w:rPr>
          <w:rFonts w:ascii="Century" w:hAnsi="Century"/>
          <w:sz w:val="24"/>
          <w:szCs w:val="24"/>
        </w:rPr>
      </w:pPr>
      <w:r>
        <w:rPr>
          <w:rFonts w:ascii="Century" w:hAnsi="Century"/>
          <w:sz w:val="24"/>
          <w:szCs w:val="24"/>
        </w:rPr>
        <w:tab/>
      </w:r>
      <w:r>
        <w:rPr>
          <w:rFonts w:ascii="Century" w:hAnsi="Century"/>
          <w:b/>
          <w:i/>
          <w:sz w:val="24"/>
          <w:szCs w:val="24"/>
        </w:rPr>
        <w:t>10-</w:t>
      </w:r>
      <w:r>
        <w:rPr>
          <w:rFonts w:ascii="Century" w:hAnsi="Century"/>
          <w:sz w:val="24"/>
          <w:szCs w:val="24"/>
        </w:rPr>
        <w:t xml:space="preserve"> Устройство за подаване от лентов носител- от ролка.</w:t>
      </w:r>
    </w:p>
    <w:p>
      <w:pPr>
        <w:pStyle w:val="Normal"/>
        <w:rPr>
          <w:rFonts w:ascii="Century" w:hAnsi="Century"/>
          <w:sz w:val="24"/>
          <w:szCs w:val="24"/>
        </w:rPr>
      </w:pPr>
      <w:r>
        <w:rPr>
          <w:rFonts w:ascii="Century" w:hAnsi="Century"/>
          <w:sz w:val="24"/>
          <w:szCs w:val="24"/>
        </w:rPr>
        <w:tab/>
      </w:r>
      <w:r>
        <w:rPr>
          <w:rFonts w:ascii="Century" w:hAnsi="Century"/>
          <w:b/>
          <w:i/>
          <w:sz w:val="24"/>
          <w:szCs w:val="24"/>
        </w:rPr>
        <w:t>11-</w:t>
      </w:r>
      <w:r>
        <w:rPr>
          <w:rFonts w:ascii="Century" w:hAnsi="Century"/>
          <w:sz w:val="24"/>
          <w:szCs w:val="24"/>
        </w:rPr>
        <w:t xml:space="preserve"> Въртяща се работна глава с 8 вида инструменти.</w:t>
      </w:r>
    </w:p>
    <w:p>
      <w:pPr>
        <w:pStyle w:val="Normal"/>
        <w:rPr>
          <w:rFonts w:ascii="Century" w:hAnsi="Century"/>
          <w:sz w:val="24"/>
          <w:szCs w:val="24"/>
        </w:rPr>
      </w:pPr>
      <w:r>
        <w:rPr>
          <w:rFonts w:ascii="Century" w:hAnsi="Century"/>
          <w:sz w:val="24"/>
          <w:szCs w:val="24"/>
        </w:rPr>
        <w:tab/>
      </w:r>
      <w:r>
        <w:rPr>
          <w:rFonts w:ascii="Century" w:hAnsi="Century"/>
          <w:b/>
          <w:i/>
          <w:sz w:val="24"/>
          <w:szCs w:val="24"/>
        </w:rPr>
        <w:t>12-</w:t>
      </w:r>
      <w:r>
        <w:rPr>
          <w:rFonts w:ascii="Century" w:hAnsi="Century"/>
          <w:sz w:val="24"/>
          <w:szCs w:val="24"/>
        </w:rPr>
        <w:t xml:space="preserve"> Сменяеми инструменти.</w:t>
      </w:r>
    </w:p>
    <w:p>
      <w:pPr>
        <w:pStyle w:val="Normal"/>
        <w:rPr>
          <w:rFonts w:ascii="Century" w:hAnsi="Century"/>
          <w:sz w:val="24"/>
          <w:szCs w:val="24"/>
        </w:rPr>
      </w:pPr>
      <w:r>
        <w:rPr>
          <w:rFonts w:ascii="Century" w:hAnsi="Century"/>
          <w:sz w:val="24"/>
          <w:szCs w:val="24"/>
        </w:rPr>
        <w:tab/>
      </w:r>
      <w:r>
        <w:rPr>
          <w:rFonts w:ascii="Century" w:hAnsi="Century"/>
          <w:b/>
          <w:i/>
          <w:sz w:val="24"/>
          <w:szCs w:val="24"/>
        </w:rPr>
        <w:t>13-</w:t>
      </w:r>
      <w:r>
        <w:rPr>
          <w:rFonts w:ascii="Century" w:hAnsi="Century"/>
          <w:sz w:val="24"/>
          <w:szCs w:val="24"/>
        </w:rPr>
        <w:t xml:space="preserve"> Технологичен процеп за движение рамата на работната глава.</w:t>
      </w:r>
    </w:p>
    <w:p>
      <w:pPr>
        <w:pStyle w:val="Normal"/>
        <w:rPr>
          <w:rFonts w:ascii="Century" w:hAnsi="Century"/>
          <w:sz w:val="24"/>
          <w:szCs w:val="24"/>
        </w:rPr>
      </w:pPr>
      <w:r>
        <w:rPr>
          <w:rFonts w:ascii="Century" w:hAnsi="Century"/>
          <w:sz w:val="24"/>
          <w:szCs w:val="24"/>
        </w:rPr>
        <w:tab/>
      </w:r>
      <w:r>
        <w:rPr>
          <w:rFonts w:ascii="Century" w:hAnsi="Century"/>
          <w:b/>
          <w:i/>
          <w:sz w:val="24"/>
          <w:szCs w:val="24"/>
        </w:rPr>
        <w:t>14-</w:t>
      </w:r>
      <w:r>
        <w:rPr>
          <w:rFonts w:ascii="Century" w:hAnsi="Century"/>
          <w:sz w:val="24"/>
          <w:szCs w:val="24"/>
        </w:rPr>
        <w:t xml:space="preserve"> Обектив и телевизионна камера за наблюдение.</w:t>
      </w:r>
    </w:p>
    <w:p>
      <w:pPr>
        <w:pStyle w:val="Normal"/>
        <w:rPr>
          <w:rFonts w:ascii="Century" w:hAnsi="Century"/>
          <w:sz w:val="24"/>
          <w:szCs w:val="24"/>
        </w:rPr>
      </w:pPr>
      <w:r>
        <w:rPr>
          <w:rFonts w:ascii="Century" w:hAnsi="Century"/>
          <w:sz w:val="24"/>
          <w:szCs w:val="24"/>
        </w:rPr>
        <w:tab/>
      </w:r>
      <w:r>
        <w:rPr>
          <w:rFonts w:ascii="Century" w:hAnsi="Century"/>
          <w:b/>
          <w:i/>
          <w:sz w:val="24"/>
          <w:szCs w:val="24"/>
        </w:rPr>
        <w:t>15-</w:t>
      </w:r>
      <w:r>
        <w:rPr>
          <w:rFonts w:ascii="Century" w:hAnsi="Century"/>
          <w:sz w:val="24"/>
          <w:szCs w:val="24"/>
        </w:rPr>
        <w:t xml:space="preserve"> Бутон за включване на вибраторно захранване,</w:t>
      </w:r>
    </w:p>
    <w:p>
      <w:pPr>
        <w:pStyle w:val="Normal"/>
        <w:rPr>
          <w:rFonts w:ascii="Century" w:hAnsi="Century"/>
          <w:sz w:val="24"/>
          <w:szCs w:val="24"/>
        </w:rPr>
      </w:pPr>
      <w:r>
        <w:rPr>
          <w:rFonts w:ascii="Century" w:hAnsi="Century"/>
          <w:sz w:val="24"/>
          <w:szCs w:val="24"/>
        </w:rPr>
        <w:tab/>
      </w:r>
      <w:r>
        <w:rPr>
          <w:rFonts w:ascii="Century" w:hAnsi="Century"/>
          <w:b/>
          <w:i/>
          <w:sz w:val="24"/>
          <w:szCs w:val="24"/>
        </w:rPr>
        <w:t>16-</w:t>
      </w:r>
      <w:r>
        <w:rPr>
          <w:rFonts w:ascii="Century" w:hAnsi="Century"/>
          <w:sz w:val="24"/>
          <w:szCs w:val="24"/>
        </w:rPr>
        <w:t xml:space="preserve"> Многоканален захранващ блок за вибраторни устройства.</w:t>
      </w:r>
    </w:p>
    <w:p>
      <w:pPr>
        <w:pStyle w:val="Normal"/>
        <w:rPr>
          <w:rFonts w:ascii="Century" w:hAnsi="Century"/>
          <w:sz w:val="24"/>
          <w:szCs w:val="24"/>
        </w:rPr>
      </w:pPr>
      <w:r>
        <w:rPr>
          <w:rFonts w:ascii="Century" w:hAnsi="Century"/>
          <w:sz w:val="24"/>
          <w:szCs w:val="24"/>
        </w:rPr>
        <w:tab/>
      </w:r>
      <w:r>
        <w:rPr>
          <w:rFonts w:ascii="Century" w:hAnsi="Century"/>
          <w:b/>
          <w:i/>
          <w:sz w:val="24"/>
          <w:szCs w:val="24"/>
        </w:rPr>
        <w:t>17-</w:t>
      </w:r>
      <w:r>
        <w:rPr>
          <w:rFonts w:ascii="Century" w:hAnsi="Century"/>
          <w:sz w:val="24"/>
          <w:szCs w:val="24"/>
        </w:rPr>
        <w:t xml:space="preserve"> Регулатори за мощността на вибрации.</w:t>
      </w:r>
    </w:p>
    <w:p>
      <w:pPr>
        <w:pStyle w:val="Normal"/>
        <w:rPr>
          <w:rFonts w:ascii="Century" w:hAnsi="Century"/>
          <w:sz w:val="24"/>
          <w:szCs w:val="24"/>
        </w:rPr>
      </w:pPr>
      <w:r>
        <w:rPr>
          <w:rFonts w:ascii="Century" w:hAnsi="Century"/>
          <w:sz w:val="24"/>
          <w:szCs w:val="24"/>
        </w:rPr>
        <w:tab/>
      </w:r>
      <w:r>
        <w:rPr>
          <w:rFonts w:ascii="Century" w:hAnsi="Century"/>
          <w:b/>
          <w:i/>
          <w:sz w:val="24"/>
          <w:szCs w:val="24"/>
        </w:rPr>
        <w:t>18-</w:t>
      </w:r>
      <w:r>
        <w:rPr>
          <w:rFonts w:ascii="Century" w:hAnsi="Century"/>
          <w:sz w:val="24"/>
          <w:szCs w:val="24"/>
        </w:rPr>
        <w:t xml:space="preserve"> Ключ за включване на дадено устройство за подаване (9).</w:t>
      </w:r>
    </w:p>
    <w:p>
      <w:pPr>
        <w:pStyle w:val="Normal"/>
        <w:rPr>
          <w:rFonts w:ascii="Century" w:hAnsi="Century"/>
          <w:sz w:val="24"/>
          <w:szCs w:val="24"/>
        </w:rPr>
      </w:pPr>
      <w:r>
        <w:rPr>
          <w:rFonts w:ascii="Century" w:hAnsi="Century"/>
          <w:sz w:val="24"/>
          <w:szCs w:val="24"/>
        </w:rPr>
        <w:tab/>
      </w:r>
      <w:r>
        <w:rPr>
          <w:rFonts w:ascii="Century" w:hAnsi="Century"/>
          <w:b/>
          <w:i/>
          <w:sz w:val="24"/>
          <w:szCs w:val="24"/>
        </w:rPr>
        <w:t>19-</w:t>
      </w:r>
      <w:r>
        <w:rPr>
          <w:rFonts w:ascii="Century" w:hAnsi="Century"/>
          <w:sz w:val="24"/>
          <w:szCs w:val="24"/>
        </w:rPr>
        <w:t xml:space="preserve"> Бутон за включване въртенето на резервоара (5).</w:t>
      </w:r>
    </w:p>
    <w:p>
      <w:pPr>
        <w:pStyle w:val="Normal"/>
        <w:rPr>
          <w:rFonts w:ascii="Century" w:hAnsi="Century"/>
          <w:sz w:val="24"/>
          <w:szCs w:val="24"/>
        </w:rPr>
      </w:pPr>
      <w:r>
        <w:rPr>
          <w:rFonts w:ascii="Century" w:hAnsi="Century"/>
          <w:sz w:val="24"/>
          <w:szCs w:val="24"/>
        </w:rPr>
        <w:tab/>
      </w:r>
      <w:r>
        <w:rPr>
          <w:rFonts w:ascii="Century" w:hAnsi="Century"/>
          <w:b/>
          <w:i/>
          <w:sz w:val="24"/>
          <w:szCs w:val="24"/>
        </w:rPr>
        <w:t>20-</w:t>
      </w:r>
      <w:r>
        <w:rPr>
          <w:rFonts w:ascii="Century" w:hAnsi="Century"/>
          <w:sz w:val="24"/>
          <w:szCs w:val="24"/>
        </w:rPr>
        <w:t xml:space="preserve"> Бутон за включване на вибратори (23).</w:t>
      </w:r>
    </w:p>
    <w:p>
      <w:pPr>
        <w:pStyle w:val="Normal"/>
        <w:rPr>
          <w:rFonts w:ascii="Century" w:hAnsi="Century"/>
          <w:sz w:val="24"/>
          <w:szCs w:val="24"/>
        </w:rPr>
      </w:pPr>
      <w:r>
        <w:rPr>
          <w:rFonts w:ascii="Century" w:hAnsi="Century"/>
          <w:sz w:val="24"/>
          <w:szCs w:val="24"/>
        </w:rPr>
        <w:tab/>
      </w:r>
      <w:r>
        <w:rPr>
          <w:rFonts w:ascii="Century" w:hAnsi="Century"/>
          <w:b/>
          <w:i/>
          <w:sz w:val="24"/>
          <w:szCs w:val="24"/>
        </w:rPr>
        <w:t>21-</w:t>
      </w:r>
      <w:r>
        <w:rPr>
          <w:rFonts w:ascii="Century" w:hAnsi="Century"/>
          <w:sz w:val="24"/>
          <w:szCs w:val="24"/>
        </w:rPr>
        <w:t xml:space="preserve"> Бутон за включване на осветлението.</w:t>
      </w:r>
    </w:p>
    <w:p>
      <w:pPr>
        <w:pStyle w:val="Normal"/>
        <w:rPr>
          <w:rFonts w:ascii="Century" w:hAnsi="Century"/>
          <w:sz w:val="24"/>
          <w:szCs w:val="24"/>
        </w:rPr>
      </w:pPr>
      <w:r>
        <w:rPr>
          <w:rFonts w:ascii="Century" w:hAnsi="Century"/>
          <w:sz w:val="24"/>
          <w:szCs w:val="24"/>
        </w:rPr>
        <w:tab/>
      </w:r>
      <w:r>
        <w:rPr>
          <w:rFonts w:ascii="Century" w:hAnsi="Century"/>
          <w:b/>
          <w:i/>
          <w:sz w:val="24"/>
          <w:szCs w:val="24"/>
        </w:rPr>
        <w:t>22-</w:t>
      </w:r>
      <w:r>
        <w:rPr>
          <w:rFonts w:ascii="Century" w:hAnsi="Century"/>
          <w:sz w:val="24"/>
          <w:szCs w:val="24"/>
        </w:rPr>
        <w:t xml:space="preserve"> Бутон за включване на звукова аларма.</w:t>
      </w:r>
    </w:p>
    <w:p>
      <w:pPr>
        <w:pStyle w:val="Normal"/>
        <w:rPr>
          <w:rFonts w:ascii="Century" w:hAnsi="Century"/>
          <w:sz w:val="24"/>
          <w:szCs w:val="24"/>
        </w:rPr>
      </w:pPr>
      <w:r>
        <w:rPr>
          <w:rFonts w:ascii="Century" w:hAnsi="Century"/>
          <w:sz w:val="24"/>
          <w:szCs w:val="24"/>
        </w:rPr>
        <w:tab/>
      </w:r>
      <w:r>
        <w:rPr>
          <w:rFonts w:ascii="Century" w:hAnsi="Century"/>
          <w:b/>
          <w:i/>
          <w:sz w:val="24"/>
          <w:szCs w:val="24"/>
        </w:rPr>
        <w:t>23-</w:t>
      </w:r>
      <w:r>
        <w:rPr>
          <w:rFonts w:ascii="Century" w:hAnsi="Century"/>
          <w:sz w:val="24"/>
          <w:szCs w:val="24"/>
        </w:rPr>
        <w:t xml:space="preserve"> Вибратори за подаване на елементи.</w:t>
      </w:r>
    </w:p>
    <w:p>
      <w:pPr>
        <w:pStyle w:val="Normal"/>
        <w:rPr>
          <w:rFonts w:ascii="Century" w:hAnsi="Century"/>
          <w:sz w:val="24"/>
          <w:szCs w:val="24"/>
        </w:rPr>
      </w:pPr>
      <w:r>
        <w:rPr>
          <w:rFonts w:ascii="Century" w:hAnsi="Century"/>
          <w:sz w:val="24"/>
          <w:szCs w:val="24"/>
        </w:rPr>
        <w:tab/>
      </w:r>
      <w:r>
        <w:rPr>
          <w:rFonts w:ascii="Century" w:hAnsi="Century"/>
          <w:b/>
          <w:i/>
          <w:sz w:val="24"/>
          <w:szCs w:val="24"/>
        </w:rPr>
        <w:t>24-</w:t>
      </w:r>
      <w:r>
        <w:rPr>
          <w:rFonts w:ascii="Century" w:hAnsi="Century"/>
          <w:sz w:val="24"/>
          <w:szCs w:val="24"/>
        </w:rPr>
        <w:t xml:space="preserve"> Регулатор на мощността на вибратора, т.е. скоростта, с която се подават елементите.</w:t>
      </w:r>
    </w:p>
    <w:p>
      <w:pPr>
        <w:pStyle w:val="Normal"/>
        <w:rPr>
          <w:rFonts w:ascii="Century" w:hAnsi="Century"/>
          <w:sz w:val="24"/>
          <w:szCs w:val="24"/>
        </w:rPr>
      </w:pPr>
      <w:r>
        <w:rPr>
          <w:rFonts w:ascii="Century" w:hAnsi="Century"/>
          <w:sz w:val="24"/>
          <w:szCs w:val="24"/>
        </w:rPr>
        <w:tab/>
      </w:r>
      <w:r>
        <w:rPr>
          <w:rFonts w:ascii="Century" w:hAnsi="Century"/>
          <w:b/>
          <w:i/>
          <w:sz w:val="24"/>
          <w:szCs w:val="24"/>
        </w:rPr>
        <w:t>25-</w:t>
      </w:r>
      <w:r>
        <w:rPr>
          <w:rFonts w:ascii="Century" w:hAnsi="Century"/>
          <w:sz w:val="24"/>
          <w:szCs w:val="24"/>
        </w:rPr>
        <w:t xml:space="preserve"> Захранващи кабели на вибратори (24).</w:t>
      </w:r>
    </w:p>
    <w:p>
      <w:pPr>
        <w:pStyle w:val="Normal"/>
        <w:rPr>
          <w:rFonts w:ascii="Century" w:hAnsi="Century"/>
          <w:sz w:val="24"/>
          <w:szCs w:val="24"/>
        </w:rPr>
      </w:pPr>
      <w:r>
        <w:rPr>
          <w:rFonts w:ascii="Century" w:hAnsi="Century"/>
          <w:sz w:val="24"/>
          <w:szCs w:val="24"/>
        </w:rPr>
        <w:tab/>
      </w:r>
      <w:r>
        <w:rPr>
          <w:rFonts w:ascii="Century" w:hAnsi="Century"/>
          <w:b/>
          <w:i/>
          <w:sz w:val="24"/>
          <w:szCs w:val="24"/>
        </w:rPr>
        <w:t>26-</w:t>
      </w:r>
      <w:r>
        <w:rPr>
          <w:rFonts w:ascii="Century" w:hAnsi="Century"/>
          <w:sz w:val="24"/>
          <w:szCs w:val="24"/>
        </w:rPr>
        <w:t xml:space="preserve"> Авариен стоп.</w:t>
      </w:r>
    </w:p>
    <w:p>
      <w:pPr>
        <w:pStyle w:val="Normal"/>
        <w:rPr>
          <w:rFonts w:ascii="Century" w:hAnsi="Century"/>
          <w:sz w:val="24"/>
          <w:szCs w:val="24"/>
        </w:rPr>
      </w:pPr>
      <w:r>
        <w:rPr>
          <w:rFonts w:ascii="Century" w:hAnsi="Century"/>
          <w:sz w:val="24"/>
          <w:szCs w:val="24"/>
        </w:rPr>
        <w:tab/>
      </w:r>
      <w:r>
        <w:rPr>
          <w:rFonts w:ascii="Century" w:hAnsi="Century"/>
          <w:b/>
          <w:i/>
          <w:sz w:val="24"/>
          <w:szCs w:val="24"/>
        </w:rPr>
        <w:t>27-</w:t>
      </w:r>
      <w:r>
        <w:rPr>
          <w:rFonts w:ascii="Century" w:hAnsi="Century"/>
          <w:sz w:val="24"/>
          <w:szCs w:val="24"/>
        </w:rPr>
        <w:t xml:space="preserve"> Касетъчно устройство за запис на програми.</w:t>
      </w:r>
    </w:p>
    <w:p>
      <w:pPr>
        <w:pStyle w:val="Normal"/>
        <w:rPr>
          <w:rFonts w:ascii="Century" w:hAnsi="Century"/>
          <w:sz w:val="24"/>
          <w:szCs w:val="24"/>
        </w:rPr>
      </w:pPr>
      <w:r>
        <w:rPr>
          <w:rFonts w:ascii="Century" w:hAnsi="Century"/>
          <w:sz w:val="24"/>
          <w:szCs w:val="24"/>
        </w:rPr>
      </w:r>
    </w:p>
    <w:p>
      <w:pPr>
        <w:pStyle w:val="Normal"/>
        <w:rPr>
          <w:rFonts w:ascii="Century" w:hAnsi="Century"/>
          <w:sz w:val="24"/>
          <w:szCs w:val="24"/>
        </w:rPr>
      </w:pPr>
      <w:r>
        <w:rPr>
          <w:rFonts w:ascii="Century" w:hAnsi="Century"/>
          <w:sz w:val="24"/>
          <w:szCs w:val="24"/>
        </w:rPr>
        <w:tab/>
        <w:t>Програмирането на тази машина се извършва с помощта на подвижен пулт с течнокристален дисплейв горната си част и 35 бутона в долната част. Пултът е свързан към машината с кабел, позволяващ преместването ми на желаното място за наблюдение. Програмирането става с помощта на команди от пулта, които се записват в машината. В долния ляв край се намират бутоните за управление преместването на работната глава. Цветните бутони служат за преместване в равнината, а за преместването по вертикала бутоните са на най-долния ред. Пултът е показан на фиг.12.</w:t>
      </w:r>
    </w:p>
    <w:p>
      <w:pPr>
        <w:pStyle w:val="Normal"/>
        <w:rPr>
          <w:rFonts w:ascii="Century" w:hAnsi="Century"/>
          <w:sz w:val="24"/>
          <w:szCs w:val="24"/>
        </w:rPr>
      </w:pPr>
      <w:r>
        <w:rPr>
          <w:rFonts w:ascii="Century" w:hAnsi="Century"/>
          <w:sz w:val="24"/>
          <w:szCs w:val="24"/>
        </w:rPr>
      </w:r>
    </w:p>
    <w:p>
      <w:pPr>
        <w:pStyle w:val="Normal"/>
        <w:jc w:val="center"/>
        <w:rPr>
          <w:rFonts w:ascii="Century" w:hAnsi="Century"/>
          <w:sz w:val="24"/>
          <w:szCs w:val="24"/>
        </w:rPr>
      </w:pPr>
      <w:r>
        <w:rPr/>
        <mc:AlternateContent>
          <mc:Choice Requires="wps">
            <w:drawing>
              <wp:inline distT="0" distB="0" distL="0" distR="0">
                <wp:extent cx="4691380" cy="3289935"/>
                <wp:effectExtent l="171450" t="133350" r="357076" b="310630"/>
                <wp:docPr id="12" name="DSCN8512.JPG"/>
                <a:graphic xmlns:a="http://schemas.openxmlformats.org/drawingml/2006/main">
                  <a:graphicData uri="http://schemas.openxmlformats.org/drawingml/2006/picture">
                    <pic:pic xmlns:pic="http://schemas.openxmlformats.org/drawingml/2006/picture">
                      <pic:nvPicPr>
                        <pic:cNvPr id="9" name="DSCN8512.JPG" descr=""/>
                        <pic:cNvPicPr/>
                      </pic:nvPicPr>
                      <pic:blipFill>
                        <a:blip r:embed="rId12"/>
                        <a:stretch/>
                      </pic:blipFill>
                      <pic:spPr>
                        <a:xfrm>
                          <a:off x="0" y="0"/>
                          <a:ext cx="4691520" cy="3290040"/>
                        </a:xfrm>
                        <a:prstGeom prst="rect">
                          <a:avLst/>
                        </a:prstGeom>
                        <a:ln w="0">
                          <a:noFill/>
                        </a:ln>
                        <a:effectLst>
                          <a:outerShdw algn="tl" blurRad="291960" dir="2700000" dist="138988" rotWithShape="0">
                            <a:srgbClr val="333333">
                              <a:alpha val="65000"/>
                            </a:srgbClr>
                          </a:outerShdw>
                        </a:effectLst>
                      </pic:spPr>
                    </pic:pic>
                  </a:graphicData>
                </a:graphic>
              </wp:inline>
            </w:drawing>
          </mc:Choice>
          <mc:Fallback>
            <w:pict>
              <v:shape id="shape_0" ID="DSCN8512.JPG" stroked="f" o:allowincell="f" style="position:absolute;margin-left:0pt;margin-top:-294.05pt;width:369.35pt;height:259pt;mso-wrap-style:none;v-text-anchor:middle;mso-position-vertical:top" type="_x0000_t75">
                <v:imagedata r:id="rId12" o:detectmouseclick="t"/>
                <v:stroke color="#3465a4" joinstyle="round" endcap="flat"/>
                <w10:wrap type="square"/>
              </v:shape>
            </w:pict>
          </mc:Fallback>
        </mc:AlternateContent>
      </w:r>
    </w:p>
    <w:p>
      <w:pPr>
        <w:pStyle w:val="Normal"/>
        <w:jc w:val="center"/>
        <w:rPr>
          <w:rFonts w:ascii="Century" w:hAnsi="Century"/>
          <w:sz w:val="24"/>
          <w:szCs w:val="24"/>
        </w:rPr>
      </w:pPr>
      <w:r>
        <w:rPr>
          <w:rFonts w:ascii="Century" w:hAnsi="Century"/>
          <w:sz w:val="24"/>
          <w:szCs w:val="24"/>
        </w:rPr>
        <w:t>Фиг.12. Вид на пулта за програмиране</w:t>
      </w:r>
    </w:p>
    <w:p>
      <w:pPr>
        <w:pStyle w:val="Normal"/>
        <w:jc w:val="center"/>
        <w:rPr>
          <w:rFonts w:ascii="Century" w:hAnsi="Century"/>
          <w:sz w:val="24"/>
          <w:szCs w:val="24"/>
        </w:rPr>
      </w:pPr>
      <w:r>
        <w:rPr>
          <w:rFonts w:ascii="Century" w:hAnsi="Century"/>
          <w:sz w:val="24"/>
          <w:szCs w:val="24"/>
        </w:rPr>
      </w:r>
    </w:p>
    <w:p>
      <w:pPr>
        <w:pStyle w:val="Normal"/>
        <w:jc w:val="center"/>
        <w:rPr>
          <w:rFonts w:ascii="Century" w:hAnsi="Century"/>
          <w:b/>
          <w:b/>
          <w:sz w:val="32"/>
          <w:szCs w:val="32"/>
        </w:rPr>
      </w:pPr>
      <w:r>
        <w:rPr>
          <w:rFonts w:ascii="Century" w:hAnsi="Century"/>
          <w:b/>
          <w:sz w:val="32"/>
          <w:szCs w:val="32"/>
        </w:rPr>
        <w:t>ЗАКЛЮЧЕНИЕ</w:t>
      </w:r>
    </w:p>
    <w:p>
      <w:pPr>
        <w:pStyle w:val="Normal"/>
        <w:rPr>
          <w:rFonts w:ascii="Century" w:hAnsi="Century"/>
          <w:sz w:val="24"/>
          <w:szCs w:val="24"/>
        </w:rPr>
      </w:pPr>
      <w:r>
        <w:rPr>
          <w:rFonts w:ascii="Century" w:hAnsi="Century"/>
          <w:sz w:val="24"/>
          <w:szCs w:val="24"/>
        </w:rPr>
        <w:tab/>
        <w:t>Чрез разгледаният автоматизиран процес, се доказват основните предимства на навлизането на автоматизацията в производството. Реализират се нови високопроизводителни и ефективни технологични процеси, износеното и остарялото технологично оборудване се заменя с ново, намесата на човека в производствения процес е сведена до минимум, което неимоверно води до повишаване качеството на приготвяните изделия и увеличаване техния жизнен цикъл.</w:t>
      </w:r>
    </w:p>
    <w:p>
      <w:pPr>
        <w:pStyle w:val="Normal"/>
        <w:rPr>
          <w:rFonts w:ascii="Century" w:hAnsi="Century"/>
          <w:sz w:val="24"/>
          <w:szCs w:val="24"/>
        </w:rPr>
      </w:pPr>
      <w:r>
        <w:rPr>
          <w:rFonts w:ascii="Century" w:hAnsi="Century"/>
          <w:sz w:val="24"/>
          <w:szCs w:val="24"/>
        </w:rPr>
      </w:r>
    </w:p>
    <w:p>
      <w:pPr>
        <w:pStyle w:val="Normal"/>
        <w:rPr>
          <w:rFonts w:ascii="Century" w:hAnsi="Century"/>
          <w:sz w:val="24"/>
          <w:szCs w:val="24"/>
        </w:rPr>
      </w:pPr>
      <w:r>
        <w:rPr>
          <w:rFonts w:ascii="Century" w:hAnsi="Century"/>
          <w:sz w:val="24"/>
          <w:szCs w:val="24"/>
        </w:rPr>
      </w:r>
    </w:p>
    <w:p>
      <w:pPr>
        <w:pStyle w:val="Normal"/>
        <w:rPr>
          <w:rFonts w:ascii="Century" w:hAnsi="Century"/>
          <w:sz w:val="24"/>
          <w:szCs w:val="24"/>
        </w:rPr>
      </w:pPr>
      <w:r>
        <w:rPr>
          <w:rFonts w:ascii="Century" w:hAnsi="Century"/>
          <w:sz w:val="24"/>
          <w:szCs w:val="24"/>
        </w:rPr>
      </w:r>
    </w:p>
    <w:p>
      <w:pPr>
        <w:pStyle w:val="Normal"/>
        <w:rPr>
          <w:rFonts w:ascii="Century" w:hAnsi="Century"/>
          <w:sz w:val="24"/>
          <w:szCs w:val="24"/>
        </w:rPr>
      </w:pPr>
      <w:r>
        <w:rPr>
          <w:rFonts w:ascii="Century" w:hAnsi="Century"/>
          <w:sz w:val="24"/>
          <w:szCs w:val="24"/>
        </w:rPr>
      </w:r>
    </w:p>
    <w:p>
      <w:pPr>
        <w:pStyle w:val="Normal"/>
        <w:jc w:val="center"/>
        <w:rPr>
          <w:rFonts w:ascii="Century" w:hAnsi="Century"/>
          <w:b/>
          <w:b/>
          <w:sz w:val="32"/>
          <w:szCs w:val="32"/>
        </w:rPr>
      </w:pPr>
      <w:r>
        <w:rPr>
          <w:rFonts w:ascii="Century" w:hAnsi="Century"/>
          <w:b/>
          <w:sz w:val="32"/>
          <w:szCs w:val="32"/>
        </w:rPr>
        <w:t>Използвана литература:</w:t>
      </w:r>
    </w:p>
    <w:p>
      <w:pPr>
        <w:pStyle w:val="Normal"/>
        <w:rPr>
          <w:rFonts w:ascii="Century" w:hAnsi="Century"/>
          <w:sz w:val="24"/>
          <w:szCs w:val="24"/>
        </w:rPr>
      </w:pPr>
      <w:r>
        <w:rPr>
          <w:rFonts w:ascii="Century" w:hAnsi="Century"/>
          <w:sz w:val="24"/>
          <w:szCs w:val="24"/>
        </w:rPr>
        <w:tab/>
        <w:t xml:space="preserve">1. Валентин Видеков, Алексей Стратев, Стефка Танева, Найден Иванов – </w:t>
      </w:r>
      <w:r>
        <w:rPr>
          <w:rFonts w:ascii="Century" w:hAnsi="Century"/>
          <w:i/>
          <w:sz w:val="24"/>
          <w:szCs w:val="24"/>
        </w:rPr>
        <w:t>„Методически указания за програмиране на машини за повърхностен монтаж (съкратен вариант)”</w:t>
      </w:r>
      <w:r>
        <w:rPr>
          <w:rFonts w:ascii="Century" w:hAnsi="Century"/>
          <w:sz w:val="24"/>
          <w:szCs w:val="24"/>
        </w:rPr>
        <w:t>, София 2008.</w:t>
      </w:r>
    </w:p>
    <w:p>
      <w:pPr>
        <w:pStyle w:val="Normal"/>
        <w:rPr>
          <w:rFonts w:ascii="Century" w:hAnsi="Century"/>
          <w:sz w:val="24"/>
          <w:szCs w:val="24"/>
        </w:rPr>
      </w:pPr>
      <w:r>
        <w:rPr>
          <w:rFonts w:ascii="Century" w:hAnsi="Century"/>
          <w:sz w:val="24"/>
          <w:szCs w:val="24"/>
        </w:rPr>
        <w:tab/>
        <w:t xml:space="preserve">2. Стефан Й. Овчаров, </w:t>
      </w:r>
      <w:r>
        <w:rPr>
          <w:rFonts w:ascii="Century" w:hAnsi="Century"/>
          <w:i/>
          <w:sz w:val="24"/>
          <w:szCs w:val="24"/>
        </w:rPr>
        <w:t>„Автоматизация на електронното производство”</w:t>
      </w:r>
      <w:r>
        <w:rPr>
          <w:rFonts w:ascii="Century" w:hAnsi="Century"/>
          <w:sz w:val="24"/>
          <w:szCs w:val="24"/>
        </w:rPr>
        <w:t>, Технически универистет – София.</w:t>
      </w:r>
    </w:p>
    <w:p>
      <w:pPr>
        <w:pStyle w:val="Normal"/>
        <w:rPr>
          <w:rFonts w:ascii="Century" w:hAnsi="Century" w:cs="Calibri" w:cstheme="minorHAnsi"/>
          <w:sz w:val="24"/>
          <w:szCs w:val="24"/>
        </w:rPr>
      </w:pPr>
      <w:r>
        <w:rPr>
          <w:rFonts w:ascii="Century" w:hAnsi="Century"/>
          <w:sz w:val="24"/>
          <w:szCs w:val="24"/>
        </w:rPr>
        <w:tab/>
      </w:r>
      <w:r>
        <w:rPr>
          <w:rFonts w:cs="Calibri" w:ascii="Century" w:hAnsi="Century" w:cstheme="minorHAnsi"/>
          <w:sz w:val="24"/>
          <w:szCs w:val="24"/>
        </w:rPr>
        <w:t xml:space="preserve">3. </w:t>
      </w:r>
      <w:hyperlink r:id="rId13">
        <w:r>
          <w:rPr>
            <w:rStyle w:val="InternetLink"/>
            <w:rFonts w:cs="Calibri" w:ascii="Century" w:hAnsi="Century" w:cstheme="minorHAnsi"/>
            <w:sz w:val="24"/>
            <w:szCs w:val="24"/>
          </w:rPr>
          <w:t>http://www.air-vac-eng.com/onyx500cell.html</w:t>
        </w:r>
      </w:hyperlink>
    </w:p>
    <w:p>
      <w:pPr>
        <w:pStyle w:val="Normal"/>
        <w:rPr>
          <w:rFonts w:ascii="Century" w:hAnsi="Century" w:cs="Calibri" w:cstheme="minorHAnsi"/>
          <w:sz w:val="24"/>
          <w:szCs w:val="24"/>
        </w:rPr>
      </w:pPr>
      <w:r>
        <w:rPr>
          <w:rFonts w:cs="Calibri" w:ascii="Century" w:hAnsi="Century" w:cstheme="minorHAnsi"/>
          <w:sz w:val="24"/>
          <w:szCs w:val="24"/>
        </w:rPr>
        <w:tab/>
        <w:t xml:space="preserve">4. </w:t>
      </w:r>
      <w:hyperlink r:id="rId14">
        <w:r>
          <w:rPr>
            <w:rStyle w:val="InternetLink"/>
            <w:rFonts w:cs="Calibri" w:ascii="Century" w:hAnsi="Century" w:cstheme="minorHAnsi"/>
            <w:sz w:val="24"/>
            <w:szCs w:val="24"/>
          </w:rPr>
          <w:t>http://www.micron20.com/bg/povyrhnosten-montaj/tehnologija-za-montaj?format=pdf</w:t>
        </w:r>
      </w:hyperlink>
    </w:p>
    <w:p>
      <w:pPr>
        <w:pStyle w:val="Normal"/>
        <w:rPr>
          <w:rFonts w:ascii="Century" w:hAnsi="Century" w:cs="Calibri" w:cstheme="minorHAnsi"/>
          <w:sz w:val="24"/>
          <w:szCs w:val="24"/>
        </w:rPr>
      </w:pPr>
      <w:r>
        <w:rPr>
          <w:rFonts w:cs="Calibri" w:ascii="Century" w:hAnsi="Century" w:cstheme="minorHAnsi"/>
          <w:sz w:val="24"/>
          <w:szCs w:val="24"/>
        </w:rPr>
        <w:tab/>
        <w:t xml:space="preserve">5. </w:t>
      </w:r>
      <w:hyperlink r:id="rId15">
        <w:r>
          <w:rPr>
            <w:rStyle w:val="InternetLink"/>
            <w:rFonts w:cs="Calibri" w:ascii="Century" w:hAnsi="Century" w:cstheme="minorHAnsi"/>
            <w:sz w:val="24"/>
            <w:szCs w:val="24"/>
          </w:rPr>
          <w:t>http://www.tresky.com/upload/2110893-PR-T-6000.pdf</w:t>
        </w:r>
      </w:hyperlink>
    </w:p>
    <w:p>
      <w:pPr>
        <w:pStyle w:val="Normal"/>
        <w:spacing w:before="0" w:after="200"/>
        <w:rPr>
          <w:rFonts w:ascii="Century" w:hAnsi="Century" w:cs="Calibri" w:cstheme="minorHAnsi"/>
          <w:sz w:val="24"/>
          <w:szCs w:val="24"/>
        </w:rPr>
      </w:pPr>
      <w:r>
        <w:rPr>
          <w:rFonts w:cs="Calibri" w:ascii="Century" w:hAnsi="Century" w:cstheme="minorHAnsi"/>
          <w:sz w:val="24"/>
          <w:szCs w:val="24"/>
        </w:rPr>
        <w:tab/>
        <w:t xml:space="preserve">6. </w:t>
      </w:r>
      <w:hyperlink r:id="rId16">
        <w:r>
          <w:rPr>
            <w:rStyle w:val="InternetLink"/>
            <w:rFonts w:cs="Calibri" w:ascii="Century" w:hAnsi="Century" w:cstheme="minorHAnsi"/>
            <w:sz w:val="24"/>
            <w:szCs w:val="24"/>
          </w:rPr>
          <w:t>http://www.fujitsu.com/downloads/MAG/vol43-1/paper07.pdf</w:t>
        </w:r>
      </w:hyperlink>
    </w:p>
    <w:sectPr>
      <w:footerReference w:type="default" r:id="rId17"/>
      <w:type w:val="nextPage"/>
      <w:pgSz w:w="11906" w:h="16838"/>
      <w:pgMar w:left="1417" w:right="1417" w:gutter="0" w:header="0" w:top="1417" w:footer="708" w:bottom="1417"/>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ahoma">
    <w:charset w:val="01"/>
    <w:family w:val="roman"/>
    <w:pitch w:val="variable"/>
  </w:font>
  <w:font w:name="Liberation Sans">
    <w:altName w:val="Arial"/>
    <w:charset w:val="01"/>
    <w:family w:val="swiss"/>
    <w:pitch w:val="variable"/>
  </w:font>
  <w:font w:name="Century">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543693084"/>
    </w:sdtPr>
    <w:sdtContent>
      <w:p>
        <w:pPr>
          <w:pStyle w:val="Footer"/>
          <w:jc w:val="center"/>
          <w:rPr/>
        </w:pPr>
        <w:r>
          <w:rPr/>
          <w:fldChar w:fldCharType="begin"/>
        </w:r>
        <w:r>
          <w:rPr/>
          <w:instrText xml:space="preserve"> PAGE </w:instrText>
        </w:r>
        <w:r>
          <w:rPr/>
          <w:fldChar w:fldCharType="separate"/>
        </w:r>
        <w:r>
          <w:rPr/>
          <w:t>13</w:t>
        </w:r>
        <w:r>
          <w:rPr/>
          <w:fldChar w:fldCharType="end"/>
        </w:r>
      </w:p>
    </w:sdtContent>
  </w:sdt>
  <w:p>
    <w:pPr>
      <w:pStyle w:val="Footer"/>
      <w:rPr/>
    </w:pPr>
    <w:r>
      <w:rPr/>
    </w:r>
  </w:p>
</w:ftr>
</file>

<file path=word/settings.xml><?xml version="1.0" encoding="utf-8"?>
<w:settings xmlns:w="http://schemas.openxmlformats.org/wordprocessingml/2006/main">
  <w:zoom w:percent="90"/>
  <w:defaultTabStop w:val="708"/>
  <w:autoHyphenation w:val="true"/>
  <w:compat>
    <w:compatSetting w:name="compatibilityMode" w:uri="http://schemas.microsoft.com/office/word" w:val="12"/>
  </w:compat>
  <w:hyphenationZone w:val="425"/>
  <w:themeFontLang w:val="bg-BG"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bg-BG"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107fb8"/>
    <w:pPr>
      <w:widowControl/>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bg-BG" w:eastAsia="en-US" w:bidi="ar-SA"/>
    </w:rPr>
  </w:style>
  <w:style w:type="character" w:styleId="DefaultParagraphFont" w:default="1">
    <w:name w:val="Default Paragraph Font"/>
    <w:uiPriority w:val="1"/>
    <w:semiHidden/>
    <w:unhideWhenUsed/>
    <w:qFormat/>
    <w:rPr/>
  </w:style>
  <w:style w:type="character" w:styleId="BalloonTextChar" w:customStyle="1">
    <w:name w:val="Balloon Text Char"/>
    <w:basedOn w:val="DefaultParagraphFont"/>
    <w:link w:val="BalloonText"/>
    <w:uiPriority w:val="99"/>
    <w:semiHidden/>
    <w:qFormat/>
    <w:rsid w:val="00141c3d"/>
    <w:rPr>
      <w:rFonts w:ascii="Tahoma" w:hAnsi="Tahoma" w:cs="Tahoma"/>
      <w:sz w:val="16"/>
      <w:szCs w:val="16"/>
    </w:rPr>
  </w:style>
  <w:style w:type="character" w:styleId="HeaderChar" w:customStyle="1">
    <w:name w:val="Header Char"/>
    <w:basedOn w:val="DefaultParagraphFont"/>
    <w:link w:val="Header"/>
    <w:uiPriority w:val="99"/>
    <w:semiHidden/>
    <w:qFormat/>
    <w:rsid w:val="002632b0"/>
    <w:rPr/>
  </w:style>
  <w:style w:type="character" w:styleId="FooterChar" w:customStyle="1">
    <w:name w:val="Footer Char"/>
    <w:basedOn w:val="DefaultParagraphFont"/>
    <w:link w:val="Footer"/>
    <w:uiPriority w:val="99"/>
    <w:qFormat/>
    <w:rsid w:val="002632b0"/>
    <w:rPr/>
  </w:style>
  <w:style w:type="character" w:styleId="InternetLink">
    <w:name w:val="Hyperlink"/>
    <w:basedOn w:val="DefaultParagraphFont"/>
    <w:uiPriority w:val="99"/>
    <w:semiHidden/>
    <w:unhideWhenUsed/>
    <w:rsid w:val="00fd4a09"/>
    <w:rPr>
      <w:color w:val="0000FF"/>
      <w:u w:val="single"/>
    </w:rPr>
  </w:style>
  <w:style w:type="paragraph" w:styleId="Heading">
    <w:name w:val="Heading"/>
    <w:basedOn w:val="Normal"/>
    <w:next w:val="TextBody"/>
    <w:qFormat/>
    <w:pPr>
      <w:keepNext w:val="true"/>
      <w:spacing w:before="240" w:after="120"/>
    </w:pPr>
    <w:rPr>
      <w:rFonts w:ascii="Liberation Sans" w:hAnsi="Liberation Sans" w:eastAsia="Droid Sans Fallback" w:cs="Droid Sans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Droid Sans Devanagari"/>
    </w:rPr>
  </w:style>
  <w:style w:type="paragraph" w:styleId="Caption">
    <w:name w:val="Caption"/>
    <w:basedOn w:val="Normal"/>
    <w:qFormat/>
    <w:pPr>
      <w:suppressLineNumbers/>
      <w:spacing w:before="120" w:after="120"/>
    </w:pPr>
    <w:rPr>
      <w:rFonts w:cs="Droid Sans Devanagari"/>
      <w:i/>
      <w:iCs/>
      <w:sz w:val="24"/>
      <w:szCs w:val="24"/>
    </w:rPr>
  </w:style>
  <w:style w:type="paragraph" w:styleId="Index">
    <w:name w:val="Index"/>
    <w:basedOn w:val="Normal"/>
    <w:qFormat/>
    <w:pPr>
      <w:suppressLineNumbers/>
    </w:pPr>
    <w:rPr>
      <w:rFonts w:cs="Droid Sans Devanagari"/>
      <w:lang w:val="zxx" w:eastAsia="zxx" w:bidi="zxx"/>
    </w:rPr>
  </w:style>
  <w:style w:type="paragraph" w:styleId="BalloonText">
    <w:name w:val="Balloon Text"/>
    <w:basedOn w:val="Normal"/>
    <w:link w:val="BalloonTextChar"/>
    <w:uiPriority w:val="99"/>
    <w:semiHidden/>
    <w:unhideWhenUsed/>
    <w:qFormat/>
    <w:rsid w:val="00141c3d"/>
    <w:pPr>
      <w:spacing w:lineRule="auto" w:line="240" w:before="0" w:after="0"/>
    </w:pPr>
    <w:rPr>
      <w:rFonts w:ascii="Tahoma" w:hAnsi="Tahoma" w:cs="Tahoma"/>
      <w:sz w:val="16"/>
      <w:szCs w:val="16"/>
    </w:rPr>
  </w:style>
  <w:style w:type="paragraph" w:styleId="ListParagraph">
    <w:name w:val="List Paragraph"/>
    <w:basedOn w:val="Normal"/>
    <w:uiPriority w:val="34"/>
    <w:qFormat/>
    <w:rsid w:val="003b13f0"/>
    <w:pPr>
      <w:spacing w:before="0" w:after="200"/>
      <w:ind w:left="720" w:hanging="0"/>
      <w:contextualSpacing/>
    </w:pPr>
    <w:rPr/>
  </w:style>
  <w:style w:type="paragraph" w:styleId="HeaderandFooter">
    <w:name w:val="Header and Footer"/>
    <w:basedOn w:val="Normal"/>
    <w:qFormat/>
    <w:pPr/>
    <w:rPr/>
  </w:style>
  <w:style w:type="paragraph" w:styleId="Header">
    <w:name w:val="Header"/>
    <w:basedOn w:val="Normal"/>
    <w:link w:val="HeaderChar"/>
    <w:uiPriority w:val="99"/>
    <w:semiHidden/>
    <w:unhideWhenUsed/>
    <w:rsid w:val="002632b0"/>
    <w:pPr>
      <w:tabs>
        <w:tab w:val="clear" w:pos="708"/>
        <w:tab w:val="center" w:pos="4536" w:leader="none"/>
        <w:tab w:val="right" w:pos="9072" w:leader="none"/>
      </w:tabs>
      <w:spacing w:lineRule="auto" w:line="240" w:before="0" w:after="0"/>
    </w:pPr>
    <w:rPr/>
  </w:style>
  <w:style w:type="paragraph" w:styleId="Footer">
    <w:name w:val="Footer"/>
    <w:basedOn w:val="Normal"/>
    <w:link w:val="FooterChar"/>
    <w:uiPriority w:val="99"/>
    <w:unhideWhenUsed/>
    <w:rsid w:val="002632b0"/>
    <w:pPr>
      <w:tabs>
        <w:tab w:val="clear" w:pos="708"/>
        <w:tab w:val="center" w:pos="4536" w:leader="none"/>
        <w:tab w:val="right" w:pos="9072" w:leader="none"/>
      </w:tabs>
      <w:spacing w:lineRule="auto" w:line="240" w:before="0" w:after="0"/>
    </w:pPr>
    <w:rPr/>
  </w:style>
  <w:style w:type="numbering" w:styleId="NoList" w:default="1">
    <w:name w:val="No List"/>
    <w:uiPriority w:val="99"/>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image" Target="media/image2.jpeg"/><Relationship Id="rId4" Type="http://schemas.openxmlformats.org/officeDocument/2006/relationships/image" Target="media/image3.jpeg"/><Relationship Id="rId5" Type="http://schemas.openxmlformats.org/officeDocument/2006/relationships/image" Target="media/image4.jpeg"/><Relationship Id="rId6" Type="http://schemas.openxmlformats.org/officeDocument/2006/relationships/image" Target="media/image5.jpeg"/><Relationship Id="rId7" Type="http://schemas.openxmlformats.org/officeDocument/2006/relationships/image" Target="media/image6.jpeg"/><Relationship Id="rId8" Type="http://schemas.openxmlformats.org/officeDocument/2006/relationships/image" Target="media/image7.jpeg"/><Relationship Id="rId9" Type="http://schemas.openxmlformats.org/officeDocument/2006/relationships/image" Target="media/image8.jpeg"/><Relationship Id="rId10" Type="http://schemas.openxmlformats.org/officeDocument/2006/relationships/image" Target="media/image9.jpeg"/><Relationship Id="rId11" Type="http://schemas.openxmlformats.org/officeDocument/2006/relationships/image" Target="media/image10.jpeg"/><Relationship Id="rId12" Type="http://schemas.openxmlformats.org/officeDocument/2006/relationships/image" Target="media/image11.jpeg"/><Relationship Id="rId13" Type="http://schemas.openxmlformats.org/officeDocument/2006/relationships/hyperlink" Target="http://www.air-vac-eng.com/onyx500cell.html" TargetMode="External"/><Relationship Id="rId14" Type="http://schemas.openxmlformats.org/officeDocument/2006/relationships/hyperlink" Target="http://www.micron20.com/bg/povyrhnosten-montaj/tehnologija-za-montaj?format=pdf" TargetMode="External"/><Relationship Id="rId15" Type="http://schemas.openxmlformats.org/officeDocument/2006/relationships/hyperlink" Target="http://www.tresky.com/upload/2110893-PR-T-6000.pdf" TargetMode="External"/><Relationship Id="rId16" Type="http://schemas.openxmlformats.org/officeDocument/2006/relationships/hyperlink" Target="http://www.fujitsu.com/downloads/MAG/vol43-1/paper07.pdf" TargetMode="External"/><Relationship Id="rId17" Type="http://schemas.openxmlformats.org/officeDocument/2006/relationships/footer" Target="footer1.xml"/><Relationship Id="rId18" Type="http://schemas.openxmlformats.org/officeDocument/2006/relationships/fontTable" Target="fontTable.xml"/><Relationship Id="rId19" Type="http://schemas.openxmlformats.org/officeDocument/2006/relationships/settings" Target="settings.xml"/><Relationship Id="rId20" Type="http://schemas.openxmlformats.org/officeDocument/2006/relationships/theme" Target="theme/theme1.xml"/><Relationship Id="rId21"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DD940B-6AEB-476F-A27E-400D24933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Application>LibreOffice/7.3.5.2$Linux_X86_64 LibreOffice_project/30$Build-2</Application>
  <AppVersion>15.0000</AppVersion>
  <Pages>13</Pages>
  <Words>1447</Words>
  <Characters>8771</Characters>
  <CharactersWithSpaces>10249</CharactersWithSpaces>
  <Paragraphs>90</Paragraphs>
  <Company>Grizli777</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2012-03-26T12:58:00Z</dcterms:created>
  <dc:creator>Tatiancheto</dc:creator>
  <dc:description/>
  <dc:language>en-US</dc:language>
  <cp:lastModifiedBy>Tatiancheto</cp:lastModifiedBy>
  <dcterms:modified xsi:type="dcterms:W3CDTF">2012-04-01T11:59:00Z</dcterms:modified>
  <cp:revision>36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name="NXPowerLiteLastOptimized" pid="2">
    <vt:lpwstr>337914</vt:lpwstr>
  </property>
  <property fmtid="{D5CDD505-2E9C-101B-9397-08002B2CF9AE}" name="NXPowerLiteSettings" pid="3">
    <vt:lpwstr>F7000400038000</vt:lpwstr>
  </property>
  <property fmtid="{D5CDD505-2E9C-101B-9397-08002B2CF9AE}" name="NXPowerLiteVersion" pid="4">
    <vt:lpwstr>D7.0.1</vt:lpwstr>
  </property>
</Properties>
</file>